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2" w:type="pct"/>
        <w:tblInd w:w="-176" w:type="dxa"/>
        <w:tblLook w:val="0000" w:firstRow="0" w:lastRow="0" w:firstColumn="0" w:lastColumn="0" w:noHBand="0" w:noVBand="0"/>
      </w:tblPr>
      <w:tblGrid>
        <w:gridCol w:w="10491"/>
      </w:tblGrid>
      <w:tr w:rsidR="009C56A7" w:rsidRPr="000D6A28" w:rsidTr="000437C1">
        <w:tc>
          <w:tcPr>
            <w:tcW w:w="5000" w:type="pct"/>
          </w:tcPr>
          <w:p w:rsidR="00D12377" w:rsidRPr="009C56A7" w:rsidRDefault="00D12377" w:rsidP="00D12377">
            <w:pPr>
              <w:pStyle w:val="CWHead"/>
              <w:keepNext/>
              <w:keepLines/>
              <w:tabs>
                <w:tab w:val="clear" w:pos="2880"/>
                <w:tab w:val="left" w:pos="11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1.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IDENTYFIKACJA SUBSTANCJI / MIESZANINY</w:t>
            </w:r>
            <w:r w:rsidR="00AD7CA3"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 I IDENTYFIKACJA </w:t>
            </w:r>
            <w:r w:rsidR="00AD7CA3"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>PRZEDSIĘBIORSTWA</w:t>
            </w:r>
          </w:p>
        </w:tc>
      </w:tr>
      <w:tr w:rsidR="0001072C" w:rsidRPr="0001072C" w:rsidTr="000437C1">
        <w:trPr>
          <w:trHeight w:val="3820"/>
        </w:trPr>
        <w:tc>
          <w:tcPr>
            <w:tcW w:w="5000" w:type="pct"/>
          </w:tcPr>
          <w:p w:rsidR="00D12377" w:rsidRPr="0001072C" w:rsidRDefault="00D12377" w:rsidP="003B1CB7">
            <w:pPr>
              <w:pStyle w:val="Nagwek5"/>
              <w:keepNext w:val="0"/>
              <w:keepLines w:val="0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/>
              <w:ind w:left="601" w:hanging="567"/>
              <w:rPr>
                <w:rFonts w:ascii="Arial" w:hAnsi="Arial" w:cs="Arial"/>
                <w:b/>
                <w:bCs/>
                <w:snapToGrid/>
                <w:sz w:val="18"/>
              </w:rPr>
            </w:pPr>
            <w:r w:rsidRPr="0001072C">
              <w:rPr>
                <w:rFonts w:ascii="Arial" w:hAnsi="Arial" w:cs="Arial"/>
                <w:b/>
                <w:bCs/>
                <w:snapToGrid/>
                <w:sz w:val="18"/>
              </w:rPr>
              <w:t>Identyfikator produktu</w:t>
            </w:r>
          </w:p>
          <w:p w:rsidR="00D12377" w:rsidRPr="0001072C" w:rsidRDefault="007873CF" w:rsidP="00BB75FE">
            <w:pPr>
              <w:widowControl/>
              <w:autoSpaceDE w:val="0"/>
              <w:autoSpaceDN w:val="0"/>
              <w:adjustRightInd w:val="0"/>
              <w:spacing w:after="120"/>
              <w:ind w:firstLine="601"/>
              <w:rPr>
                <w:rFonts w:cs="Arial"/>
                <w:b/>
                <w:bCs/>
                <w:sz w:val="24"/>
                <w:lang w:val="pl-PL"/>
              </w:rPr>
            </w:pPr>
            <w:r>
              <w:rPr>
                <w:rFonts w:cs="Arial"/>
                <w:b/>
                <w:bCs/>
                <w:sz w:val="24"/>
                <w:lang w:val="pl-PL"/>
              </w:rPr>
              <w:t>HENIK</w:t>
            </w:r>
            <w:r w:rsidR="000D6A28">
              <w:rPr>
                <w:rFonts w:cs="Arial"/>
                <w:b/>
                <w:bCs/>
                <w:sz w:val="24"/>
                <w:lang w:val="pl-PL"/>
              </w:rPr>
              <w:t xml:space="preserve"> EX</w:t>
            </w:r>
            <w:r w:rsidR="00373EE6">
              <w:rPr>
                <w:rFonts w:cs="Arial"/>
                <w:b/>
                <w:bCs/>
                <w:sz w:val="24"/>
                <w:lang w:val="pl-PL"/>
              </w:rPr>
              <w:t>TRA 040 OD</w:t>
            </w:r>
          </w:p>
          <w:p w:rsidR="00D12377" w:rsidRPr="0001072C" w:rsidRDefault="00D12377" w:rsidP="003B1CB7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rPr>
                <w:rFonts w:cs="Arial"/>
                <w:b/>
                <w:bCs/>
                <w:sz w:val="22"/>
                <w:lang w:val="pl-PL"/>
              </w:rPr>
            </w:pPr>
            <w:r w:rsidRPr="0001072C">
              <w:rPr>
                <w:rFonts w:cs="Arial"/>
                <w:b/>
                <w:bCs/>
                <w:snapToGrid/>
                <w:sz w:val="18"/>
                <w:lang w:val="pl-PL"/>
              </w:rPr>
              <w:t>Istotne zidentyfikowane zastosowania substancji lub mieszaniny oraz zastosowania odradzane</w:t>
            </w:r>
          </w:p>
          <w:p w:rsidR="00D12377" w:rsidRPr="0001072C" w:rsidRDefault="00ED119C" w:rsidP="00760252">
            <w:pPr>
              <w:widowControl/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  <w:lang w:val="pl-PL"/>
              </w:rPr>
            </w:pPr>
            <w:r w:rsidRPr="0001072C">
              <w:rPr>
                <w:rFonts w:cs="Arial"/>
                <w:bCs/>
                <w:snapToGrid/>
                <w:sz w:val="18"/>
                <w:lang w:val="pl-PL"/>
              </w:rPr>
              <w:t xml:space="preserve">Środek ochrony roślin – </w:t>
            </w:r>
            <w:r w:rsidR="00E63A08" w:rsidRPr="00E63A08">
              <w:rPr>
                <w:rFonts w:cs="Arial"/>
                <w:bCs/>
                <w:snapToGrid/>
                <w:sz w:val="18"/>
                <w:lang w:val="pl-PL"/>
              </w:rPr>
              <w:t xml:space="preserve">herbicyd w formie </w:t>
            </w:r>
            <w:r w:rsidR="00373EE6">
              <w:rPr>
                <w:rFonts w:cs="Arial"/>
                <w:bCs/>
                <w:snapToGrid/>
                <w:sz w:val="18"/>
                <w:lang w:val="pl-PL"/>
              </w:rPr>
              <w:t>zawiesiny olejowej</w:t>
            </w:r>
            <w:r w:rsidR="00710FBD" w:rsidRPr="0001072C">
              <w:rPr>
                <w:rFonts w:cs="Arial"/>
                <w:bCs/>
                <w:snapToGrid/>
                <w:sz w:val="18"/>
                <w:lang w:val="pl-PL"/>
              </w:rPr>
              <w:t xml:space="preserve">. </w:t>
            </w:r>
            <w:r w:rsidR="00FA54F3" w:rsidRPr="0001072C">
              <w:rPr>
                <w:rFonts w:cs="Arial"/>
                <w:bCs/>
                <w:snapToGrid/>
                <w:sz w:val="18"/>
                <w:lang w:val="pl-PL"/>
              </w:rPr>
              <w:t>Przeznaczony do stosowania przez użytkowników profesjonalnych. Stosować zgodnie z etykietą-instrukcją stosowania.</w:t>
            </w:r>
          </w:p>
          <w:p w:rsidR="00D12377" w:rsidRPr="0001072C" w:rsidRDefault="00D12377" w:rsidP="003B1CB7">
            <w:pPr>
              <w:pStyle w:val="Nagwek5"/>
              <w:keepNext w:val="0"/>
              <w:keepLines w:val="0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rPr>
                <w:rFonts w:ascii="Arial" w:hAnsi="Arial" w:cs="Arial"/>
                <w:b/>
                <w:bCs/>
                <w:snapToGrid/>
                <w:sz w:val="18"/>
              </w:rPr>
            </w:pPr>
            <w:r w:rsidRPr="0001072C">
              <w:rPr>
                <w:rFonts w:ascii="Arial" w:hAnsi="Arial" w:cs="Arial"/>
                <w:b/>
                <w:bCs/>
                <w:snapToGrid/>
                <w:sz w:val="18"/>
              </w:rPr>
              <w:t>Dane dotyczące dostawcy karty charakterystyki</w:t>
            </w:r>
          </w:p>
          <w:p w:rsidR="00C27A1E" w:rsidRPr="003905B8" w:rsidRDefault="00D12377" w:rsidP="00C27A1E">
            <w:pPr>
              <w:widowControl/>
              <w:ind w:firstLine="601"/>
              <w:rPr>
                <w:sz w:val="18"/>
                <w:lang w:val="pl-PL"/>
              </w:rPr>
            </w:pPr>
            <w:r w:rsidRPr="0001072C">
              <w:rPr>
                <w:sz w:val="18"/>
                <w:u w:val="single"/>
                <w:lang w:val="pl-PL"/>
              </w:rPr>
              <w:t>Producent</w:t>
            </w:r>
            <w:r w:rsidRPr="0001072C">
              <w:rPr>
                <w:sz w:val="18"/>
                <w:lang w:val="pl-PL"/>
              </w:rPr>
              <w:t xml:space="preserve">: </w:t>
            </w:r>
            <w:r w:rsidR="00C27A1E" w:rsidRPr="003905B8">
              <w:rPr>
                <w:sz w:val="18"/>
                <w:lang w:val="pl-PL"/>
              </w:rPr>
              <w:t>INNVIGO Sp. z o.o.</w:t>
            </w:r>
          </w:p>
          <w:p w:rsidR="00C27A1E" w:rsidRPr="003905B8" w:rsidRDefault="00C27A1E" w:rsidP="00C27A1E">
            <w:pPr>
              <w:widowControl/>
              <w:ind w:firstLine="601"/>
              <w:rPr>
                <w:sz w:val="18"/>
                <w:lang w:val="pl-PL"/>
              </w:rPr>
            </w:pPr>
            <w:r w:rsidRPr="003905B8">
              <w:rPr>
                <w:sz w:val="18"/>
                <w:lang w:val="pl-PL"/>
              </w:rPr>
              <w:t>adres: Al. Jerozolimskie 178, 02-486 Warszawa</w:t>
            </w:r>
          </w:p>
          <w:p w:rsidR="00C27A1E" w:rsidRPr="003905B8" w:rsidRDefault="00C27A1E" w:rsidP="00C27A1E">
            <w:pPr>
              <w:widowControl/>
              <w:ind w:firstLine="601"/>
              <w:rPr>
                <w:sz w:val="18"/>
                <w:lang w:val="pl-PL"/>
              </w:rPr>
            </w:pPr>
            <w:r w:rsidRPr="003905B8">
              <w:rPr>
                <w:sz w:val="18"/>
                <w:lang w:val="pl-PL"/>
              </w:rPr>
              <w:t>NIP: 557-16-98-060</w:t>
            </w:r>
          </w:p>
          <w:p w:rsidR="00C27A1E" w:rsidRPr="003905B8" w:rsidRDefault="00C27A1E" w:rsidP="00C27A1E">
            <w:pPr>
              <w:widowControl/>
              <w:ind w:firstLine="601"/>
              <w:rPr>
                <w:sz w:val="18"/>
                <w:lang w:val="pl-PL"/>
              </w:rPr>
            </w:pPr>
            <w:r w:rsidRPr="003905B8">
              <w:rPr>
                <w:sz w:val="18"/>
                <w:lang w:val="pl-PL"/>
              </w:rPr>
              <w:t>telefon: +48 22 468 26 70</w:t>
            </w:r>
          </w:p>
          <w:p w:rsidR="00C27A1E" w:rsidRDefault="00C27A1E" w:rsidP="00C27A1E">
            <w:pPr>
              <w:widowControl/>
              <w:ind w:firstLine="601"/>
              <w:rPr>
                <w:sz w:val="18"/>
                <w:lang w:val="pl-PL"/>
              </w:rPr>
            </w:pPr>
            <w:r w:rsidRPr="003905B8">
              <w:rPr>
                <w:sz w:val="18"/>
                <w:lang w:val="pl-PL"/>
              </w:rPr>
              <w:t xml:space="preserve">e-mail: </w:t>
            </w:r>
            <w:hyperlink r:id="rId8" w:history="1">
              <w:r w:rsidRPr="00862FCA">
                <w:rPr>
                  <w:rStyle w:val="Hipercze"/>
                  <w:rFonts w:cs="Times New Roman"/>
                  <w:sz w:val="18"/>
                  <w:szCs w:val="20"/>
                  <w:lang w:val="pl-PL"/>
                </w:rPr>
                <w:t>biuro@innvigo.com</w:t>
              </w:r>
            </w:hyperlink>
          </w:p>
          <w:p w:rsidR="00C27A1E" w:rsidRPr="0065000A" w:rsidRDefault="00C27A1E" w:rsidP="00C27A1E">
            <w:pPr>
              <w:widowControl/>
              <w:ind w:firstLine="601"/>
              <w:rPr>
                <w:rFonts w:cs="Arial"/>
                <w:sz w:val="18"/>
                <w:lang w:val="pl-PL"/>
              </w:rPr>
            </w:pPr>
            <w:r w:rsidRPr="0065000A">
              <w:rPr>
                <w:rFonts w:cs="Arial"/>
                <w:sz w:val="18"/>
                <w:lang w:val="pl-PL"/>
              </w:rPr>
              <w:t>Osoba odpowiedzialna za Kartę Charakterystyki: RD@chemirol.com.pl</w:t>
            </w:r>
          </w:p>
          <w:p w:rsidR="00D12377" w:rsidRPr="0001072C" w:rsidRDefault="00D12377" w:rsidP="003B1CB7">
            <w:pPr>
              <w:pStyle w:val="Nagwek5"/>
              <w:keepNext w:val="0"/>
              <w:keepLines w:val="0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rPr>
                <w:rFonts w:ascii="Arial" w:hAnsi="Arial" w:cs="Arial"/>
                <w:b/>
                <w:bCs/>
                <w:snapToGrid/>
                <w:sz w:val="18"/>
              </w:rPr>
            </w:pPr>
            <w:r w:rsidRPr="0001072C">
              <w:rPr>
                <w:rFonts w:ascii="Arial" w:hAnsi="Arial" w:cs="Arial"/>
                <w:b/>
                <w:bCs/>
                <w:snapToGrid/>
                <w:sz w:val="18"/>
              </w:rPr>
              <w:t>Numer telefonu alarmowego w Polsce</w:t>
            </w:r>
          </w:p>
          <w:p w:rsidR="00D12377" w:rsidRPr="0001072C" w:rsidRDefault="00D12377" w:rsidP="003B1CB7">
            <w:pPr>
              <w:widowControl/>
              <w:spacing w:after="60"/>
              <w:ind w:firstLine="601"/>
              <w:rPr>
                <w:rFonts w:cs="Arial"/>
                <w:snapToGrid/>
                <w:sz w:val="18"/>
                <w:lang w:val="pl-PL"/>
              </w:rPr>
            </w:pPr>
            <w:r w:rsidRPr="0001072C">
              <w:rPr>
                <w:rFonts w:cs="Arial"/>
                <w:snapToGrid/>
                <w:sz w:val="18"/>
                <w:lang w:val="pl-PL"/>
              </w:rPr>
              <w:t xml:space="preserve">Ośrodki toksykologiczne: </w:t>
            </w:r>
          </w:p>
          <w:tbl>
            <w:tblPr>
              <w:tblStyle w:val="Tabela-Siatka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2972"/>
              <w:gridCol w:w="2835"/>
              <w:gridCol w:w="2999"/>
            </w:tblGrid>
            <w:tr w:rsidR="0001072C" w:rsidRPr="0001072C" w:rsidTr="00BB75FE">
              <w:tc>
                <w:tcPr>
                  <w:tcW w:w="2972" w:type="dxa"/>
                </w:tcPr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szCs w:val="22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szCs w:val="22"/>
                      <w:lang w:val="pl-PL"/>
                    </w:rPr>
                    <w:t>Gdańsk (58) 682 04 04</w:t>
                  </w:r>
                </w:p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szCs w:val="22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szCs w:val="22"/>
                      <w:lang w:val="pl-PL"/>
                    </w:rPr>
                    <w:t>Kraków (12) 411 99 99</w:t>
                  </w:r>
                </w:p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szCs w:val="22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szCs w:val="22"/>
                      <w:lang w:val="pl-PL"/>
                    </w:rPr>
                    <w:t>Lublin (81) 740 89 83</w:t>
                  </w:r>
                </w:p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szCs w:val="22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szCs w:val="22"/>
                      <w:lang w:val="pl-PL"/>
                    </w:rPr>
                    <w:t xml:space="preserve">Łódź (42) 657 99 00 </w:t>
                  </w:r>
                </w:p>
              </w:tc>
              <w:tc>
                <w:tcPr>
                  <w:tcW w:w="2835" w:type="dxa"/>
                </w:tcPr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lang w:val="pl-PL"/>
                    </w:rPr>
                    <w:t>Poznań (61) 847 69 46</w:t>
                  </w:r>
                </w:p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szCs w:val="22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szCs w:val="22"/>
                      <w:lang w:val="pl-PL"/>
                    </w:rPr>
                    <w:t>Rzeszów (17) 866 40 25</w:t>
                  </w:r>
                </w:p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szCs w:val="22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szCs w:val="22"/>
                      <w:lang w:val="pl-PL"/>
                    </w:rPr>
                    <w:t>Sosnowiec (32) 266 11 45</w:t>
                  </w:r>
                </w:p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szCs w:val="22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szCs w:val="22"/>
                      <w:lang w:val="pl-PL"/>
                    </w:rPr>
                    <w:t>Tarnów (14) 631 54 09</w:t>
                  </w:r>
                </w:p>
              </w:tc>
              <w:tc>
                <w:tcPr>
                  <w:tcW w:w="2999" w:type="dxa"/>
                </w:tcPr>
                <w:p w:rsidR="00D12377" w:rsidRPr="0001072C" w:rsidRDefault="00D12377" w:rsidP="00BB75FE">
                  <w:pPr>
                    <w:widowControl/>
                    <w:rPr>
                      <w:rFonts w:cs="Arial"/>
                      <w:sz w:val="16"/>
                      <w:szCs w:val="22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szCs w:val="22"/>
                      <w:lang w:val="pl-PL"/>
                    </w:rPr>
                    <w:t>Warszawa (22) 619 66 54</w:t>
                  </w:r>
                </w:p>
                <w:p w:rsidR="00D12377" w:rsidRPr="0001072C" w:rsidRDefault="00D12377" w:rsidP="00BB75FE">
                  <w:pPr>
                    <w:widowControl/>
                    <w:rPr>
                      <w:rFonts w:cs="Arial"/>
                      <w:snapToGrid/>
                      <w:sz w:val="16"/>
                      <w:lang w:val="pl-PL"/>
                    </w:rPr>
                  </w:pPr>
                  <w:r w:rsidRPr="0001072C">
                    <w:rPr>
                      <w:rFonts w:cs="Arial"/>
                      <w:sz w:val="16"/>
                      <w:lang w:val="pl-PL"/>
                    </w:rPr>
                    <w:t>Wrocław (71) 343 30 08</w:t>
                  </w:r>
                </w:p>
              </w:tc>
            </w:tr>
          </w:tbl>
          <w:p w:rsidR="00D12377" w:rsidRPr="0001072C" w:rsidRDefault="00D12377" w:rsidP="00BB75FE">
            <w:pPr>
              <w:pStyle w:val="Zwykytekst"/>
              <w:ind w:left="601"/>
              <w:jc w:val="both"/>
              <w:rPr>
                <w:rFonts w:cs="Arial"/>
                <w:b/>
                <w:bCs/>
                <w:lang w:val="pl-PL"/>
              </w:rPr>
            </w:pPr>
          </w:p>
        </w:tc>
      </w:tr>
    </w:tbl>
    <w:p w:rsidR="00BB75FE" w:rsidRPr="0001072C" w:rsidRDefault="00BB75FE"/>
    <w:tbl>
      <w:tblPr>
        <w:tblpPr w:leftFromText="141" w:rightFromText="141" w:vertAnchor="text" w:horzAnchor="margin" w:tblpX="-170" w:tblpY="24"/>
        <w:tblOverlap w:val="never"/>
        <w:tblW w:w="1048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01072C" w:rsidRPr="0001072C" w:rsidTr="005F4AA6">
        <w:trPr>
          <w:trHeight w:val="562"/>
        </w:trPr>
        <w:tc>
          <w:tcPr>
            <w:tcW w:w="10488" w:type="dxa"/>
            <w:shd w:val="clear" w:color="auto" w:fill="auto"/>
          </w:tcPr>
          <w:p w:rsidR="00D12377" w:rsidRPr="0001072C" w:rsidRDefault="00D12377" w:rsidP="005F4AA6">
            <w:pPr>
              <w:pStyle w:val="CWHead"/>
              <w:keepNext/>
              <w:keepLines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1072C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2. </w:t>
            </w:r>
            <w:r w:rsidRPr="0001072C">
              <w:rPr>
                <w:rFonts w:ascii="Arial" w:hAnsi="Arial" w:cs="Arial"/>
                <w:sz w:val="22"/>
                <w:szCs w:val="22"/>
                <w:lang w:val="pl-PL"/>
              </w:rPr>
              <w:tab/>
              <w:t>IDENTYFIKACJA ZAGROŻEŃ</w:t>
            </w:r>
          </w:p>
        </w:tc>
      </w:tr>
      <w:tr w:rsidR="0001072C" w:rsidRPr="000D6A28" w:rsidTr="005F4AA6">
        <w:tc>
          <w:tcPr>
            <w:tcW w:w="10488" w:type="dxa"/>
            <w:shd w:val="clear" w:color="auto" w:fill="auto"/>
          </w:tcPr>
          <w:p w:rsidR="00ED119C" w:rsidRPr="0001072C" w:rsidRDefault="00ED119C" w:rsidP="00ED119C">
            <w:pPr>
              <w:pStyle w:val="Nagwek5"/>
              <w:keepNext w:val="0"/>
              <w:keepLines w:val="0"/>
              <w:widowControl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napToGrid/>
                <w:sz w:val="18"/>
              </w:rPr>
            </w:pPr>
            <w:r w:rsidRPr="0001072C">
              <w:rPr>
                <w:rFonts w:ascii="Arial" w:hAnsi="Arial" w:cs="Arial"/>
                <w:bCs/>
                <w:snapToGrid/>
                <w:sz w:val="18"/>
              </w:rPr>
              <w:t>Produkt sklasyfikowany jako niebezpieczny według obowiązujących przepisów na podstawie badań własnych.</w:t>
            </w:r>
          </w:p>
          <w:p w:rsidR="00ED119C" w:rsidRPr="0001072C" w:rsidRDefault="00ED119C" w:rsidP="00ED119C">
            <w:pPr>
              <w:pStyle w:val="Nagwek5"/>
              <w:keepNext w:val="0"/>
              <w:keepLines w:val="0"/>
              <w:widowControl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Arial" w:hAnsi="Arial" w:cs="Arial"/>
                <w:b/>
                <w:bCs/>
                <w:snapToGrid/>
                <w:sz w:val="18"/>
              </w:rPr>
            </w:pPr>
            <w:r w:rsidRPr="0001072C">
              <w:rPr>
                <w:rFonts w:ascii="Arial" w:hAnsi="Arial" w:cs="Arial"/>
                <w:b/>
                <w:bCs/>
                <w:snapToGrid/>
                <w:sz w:val="18"/>
              </w:rPr>
              <w:t>Klasyfikacja mieszaniny</w:t>
            </w:r>
          </w:p>
          <w:p w:rsidR="00ED119C" w:rsidRPr="0001072C" w:rsidRDefault="00ED119C" w:rsidP="00ED119C">
            <w:pPr>
              <w:ind w:left="567"/>
              <w:rPr>
                <w:sz w:val="18"/>
                <w:u w:val="single"/>
                <w:lang w:val="pl-PL"/>
              </w:rPr>
            </w:pPr>
            <w:r w:rsidRPr="0001072C">
              <w:rPr>
                <w:sz w:val="18"/>
                <w:u w:val="single"/>
                <w:lang w:val="pl-PL"/>
              </w:rPr>
              <w:t xml:space="preserve">Klasyfikacja zgodnie z rozporządzeniem 1272/2008 (CLP) </w:t>
            </w:r>
          </w:p>
          <w:p w:rsidR="00942D2F" w:rsidRDefault="00373EE6" w:rsidP="00942D2F">
            <w:pPr>
              <w:ind w:left="56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Skin Sens. 1B, H317</w:t>
            </w:r>
          </w:p>
          <w:p w:rsidR="00C27A1E" w:rsidRPr="0001072C" w:rsidRDefault="00C27A1E" w:rsidP="00942D2F">
            <w:pPr>
              <w:ind w:left="56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Aquatic Chronic 1, H410</w:t>
            </w:r>
          </w:p>
          <w:p w:rsidR="00ED119C" w:rsidRPr="0001072C" w:rsidRDefault="00ED119C" w:rsidP="00ED119C">
            <w:pPr>
              <w:numPr>
                <w:ilvl w:val="1"/>
                <w:numId w:val="2"/>
              </w:numPr>
              <w:spacing w:before="60" w:after="60"/>
              <w:ind w:left="567" w:hanging="567"/>
              <w:rPr>
                <w:rFonts w:cs="Arial"/>
                <w:b/>
                <w:bCs/>
                <w:snapToGrid/>
                <w:sz w:val="18"/>
                <w:lang w:val="pl-PL"/>
              </w:rPr>
            </w:pPr>
            <w:r w:rsidRPr="0001072C">
              <w:rPr>
                <w:rFonts w:cs="Arial"/>
                <w:b/>
                <w:bCs/>
                <w:snapToGrid/>
                <w:sz w:val="18"/>
                <w:lang w:val="pl-PL"/>
              </w:rPr>
              <w:t>Elementy oznakowania</w:t>
            </w:r>
          </w:p>
          <w:tbl>
            <w:tblPr>
              <w:tblStyle w:val="Tabela-Siatka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01072C" w:rsidRPr="000D6A28" w:rsidTr="00BE49C6">
              <w:tc>
                <w:tcPr>
                  <w:tcW w:w="8789" w:type="dxa"/>
                </w:tcPr>
                <w:p w:rsidR="00ED119C" w:rsidRPr="0001072C" w:rsidRDefault="00ED119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</w:pPr>
                  <w:r w:rsidRPr="0001072C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>Zgodnie z rozporządzeniem 1272/2008/WE (CLP)</w:t>
                  </w:r>
                </w:p>
              </w:tc>
            </w:tr>
            <w:tr w:rsidR="0001072C" w:rsidRPr="0001072C" w:rsidTr="00BE49C6">
              <w:trPr>
                <w:trHeight w:val="975"/>
              </w:trPr>
              <w:tc>
                <w:tcPr>
                  <w:tcW w:w="8789" w:type="dxa"/>
                </w:tcPr>
                <w:p w:rsidR="004F7512" w:rsidRPr="0001072C" w:rsidRDefault="00ED119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ascii="Verdana" w:hAnsi="Verdana"/>
                      <w:sz w:val="17"/>
                      <w:szCs w:val="17"/>
                    </w:rPr>
                  </w:pPr>
                  <w:r w:rsidRPr="0001072C">
                    <w:rPr>
                      <w:rFonts w:ascii="Verdana" w:hAnsi="Verdana"/>
                      <w:sz w:val="17"/>
                      <w:szCs w:val="17"/>
                      <w:lang w:val="pl-PL"/>
                    </w:rPr>
                    <w:t xml:space="preserve"> </w:t>
                  </w:r>
                  <w:r w:rsidR="00373EE6">
                    <w:rPr>
                      <w:rFonts w:ascii="Verdana" w:hAnsi="Verdana"/>
                      <w:noProof/>
                      <w:sz w:val="17"/>
                      <w:szCs w:val="17"/>
                      <w:lang w:val="pl-PL"/>
                    </w:rPr>
                    <w:drawing>
                      <wp:inline distT="0" distB="0" distL="0" distR="0" wp14:anchorId="50EC64DE">
                        <wp:extent cx="689610" cy="68961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610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072C"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 w:rsidR="00C27A1E" w:rsidRPr="00056E4F">
                    <w:rPr>
                      <w:rFonts w:cs="Arial"/>
                      <w:bCs/>
                      <w:noProof/>
                      <w:snapToGrid/>
                      <w:sz w:val="18"/>
                      <w:lang w:val="pl-PL"/>
                    </w:rPr>
                    <w:drawing>
                      <wp:inline distT="0" distB="0" distL="0" distR="0" wp14:anchorId="0FB67FFC" wp14:editId="6758ABA1">
                        <wp:extent cx="680936" cy="705430"/>
                        <wp:effectExtent l="0" t="0" r="508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373" cy="716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119C" w:rsidRPr="0001072C" w:rsidRDefault="00ED119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ascii="Verdana" w:hAnsi="Verdana"/>
                      <w:sz w:val="17"/>
                      <w:szCs w:val="17"/>
                    </w:rPr>
                  </w:pPr>
                  <w:r w:rsidRPr="0001072C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Uwaga                                   </w:t>
                  </w:r>
                </w:p>
              </w:tc>
            </w:tr>
            <w:tr w:rsidR="0001072C" w:rsidRPr="000D6A28" w:rsidTr="00BE49C6">
              <w:tc>
                <w:tcPr>
                  <w:tcW w:w="8789" w:type="dxa"/>
                </w:tcPr>
                <w:p w:rsidR="0001072C" w:rsidRPr="00373EE6" w:rsidRDefault="00ED119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</w:pPr>
                  <w:r w:rsidRPr="00914FE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>Zwroty wskazujące rodzaj zagrożenia (zwroty H):</w:t>
                  </w:r>
                </w:p>
                <w:p w:rsidR="007C360C" w:rsidRPr="00914FE1" w:rsidRDefault="0001072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</w:pPr>
                  <w:r w:rsidRPr="00914FE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>H31</w:t>
                  </w:r>
                  <w:r w:rsidR="00373EE6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>7</w:t>
                  </w:r>
                  <w:r w:rsidRPr="00914FE1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 xml:space="preserve"> – </w:t>
                  </w:r>
                  <w:r w:rsidR="00914FE1" w:rsidRPr="00914FE1">
                    <w:rPr>
                      <w:lang w:val="pl-PL"/>
                    </w:rPr>
                    <w:t xml:space="preserve"> </w:t>
                  </w:r>
                  <w:r w:rsidR="00373EE6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>Może powodować reakcję alergiczną skóry</w:t>
                  </w:r>
                </w:p>
                <w:p w:rsidR="00914FE1" w:rsidRPr="00260551" w:rsidRDefault="00C27A1E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Cs/>
                      <w:snapToGrid/>
                      <w:sz w:val="18"/>
                      <w:highlight w:val="yellow"/>
                      <w:lang w:val="pl-PL"/>
                    </w:rPr>
                  </w:pPr>
                  <w:r w:rsidRPr="00C27A1E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>H410</w:t>
                  </w:r>
                  <w:r w:rsidRPr="00C27A1E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 xml:space="preserve"> – </w:t>
                  </w:r>
                  <w:r w:rsidRPr="00C27A1E">
                    <w:rPr>
                      <w:rFonts w:ascii="Calibri" w:eastAsia="MS Mincho" w:hAnsi="Calibri" w:cs="Calibri"/>
                      <w:snapToGrid/>
                      <w:color w:val="808080"/>
                      <w:sz w:val="18"/>
                      <w:szCs w:val="18"/>
                      <w:lang w:val="pl-PL" w:eastAsia="ja-JP"/>
                    </w:rPr>
                    <w:t xml:space="preserve"> </w:t>
                  </w:r>
                  <w:r w:rsidRPr="00C27A1E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>Działa bardzo toksycznie na organizmy wodne, powodując długotrwałe skutki</w:t>
                  </w:r>
                </w:p>
              </w:tc>
            </w:tr>
            <w:tr w:rsidR="0001072C" w:rsidRPr="000D6A28" w:rsidTr="00BE49C6">
              <w:tc>
                <w:tcPr>
                  <w:tcW w:w="8789" w:type="dxa"/>
                </w:tcPr>
                <w:p w:rsidR="0001072C" w:rsidRPr="00914FE1" w:rsidRDefault="0001072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</w:pPr>
                  <w:r w:rsidRPr="00914FE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>Zwroty wskazujące środki ostrożności (zwroty P):</w:t>
                  </w:r>
                </w:p>
                <w:p w:rsidR="00C27A1E" w:rsidRPr="00056E4F" w:rsidRDefault="00C27A1E" w:rsidP="000D6A28">
                  <w:pPr>
                    <w:framePr w:hSpace="141" w:wrap="around" w:vAnchor="text" w:hAnchor="margin" w:x="-170" w:y="24"/>
                    <w:tabs>
                      <w:tab w:val="left" w:pos="8340"/>
                    </w:tabs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</w:pPr>
                  <w:r w:rsidRPr="00056E4F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P273 – </w:t>
                  </w:r>
                  <w:r w:rsidRPr="00056E4F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>Unikać uwolnienia do środowiska.</w:t>
                  </w:r>
                </w:p>
                <w:p w:rsidR="0001072C" w:rsidRPr="00914FE1" w:rsidRDefault="0001072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</w:pPr>
                  <w:r w:rsidRPr="00914FE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P501   </w:t>
                  </w:r>
                  <w:r w:rsidRPr="00914FE1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>Zawartość usuwać jako odpad niebezpieczny.</w:t>
                  </w:r>
                </w:p>
                <w:p w:rsidR="00C27A1E" w:rsidRPr="00056E4F" w:rsidRDefault="00C27A1E" w:rsidP="000D6A28">
                  <w:pPr>
                    <w:framePr w:hSpace="141" w:wrap="around" w:vAnchor="text" w:hAnchor="margin" w:x="-170" w:y="24"/>
                    <w:tabs>
                      <w:tab w:val="left" w:pos="8340"/>
                    </w:tabs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</w:pPr>
                  <w:r w:rsidRPr="00056E4F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P391 – </w:t>
                  </w:r>
                  <w:r w:rsidRPr="00056E4F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>Zebrać wyciek.</w:t>
                  </w:r>
                </w:p>
                <w:p w:rsidR="008947F1" w:rsidRPr="008947F1" w:rsidRDefault="008947F1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</w:pPr>
                  <w:r w:rsidRPr="008947F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P333 + P313 - </w:t>
                  </w:r>
                  <w:r w:rsidRPr="008947F1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>W przypadku wystąpienia podrażnienia skóry lub wysypki: zgłosić się pod opiekę lekarza.</w:t>
                  </w:r>
                  <w:r w:rsidRPr="008947F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 </w:t>
                  </w:r>
                </w:p>
                <w:p w:rsidR="008947F1" w:rsidRPr="008947F1" w:rsidRDefault="008947F1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</w:pPr>
                  <w:r w:rsidRPr="008947F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P362 + P364 - </w:t>
                  </w:r>
                  <w:r w:rsidRPr="008947F1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>Zanieczyszczoną odzież zdjąć i wyprać przed ponownym użyciem.</w:t>
                  </w:r>
                </w:p>
                <w:p w:rsidR="0001072C" w:rsidRPr="00914FE1" w:rsidRDefault="0001072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</w:pPr>
                  <w:r w:rsidRPr="00914FE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P280   </w:t>
                  </w:r>
                  <w:r w:rsidRPr="00914FE1">
                    <w:rPr>
                      <w:rFonts w:cs="Arial"/>
                      <w:bCs/>
                      <w:snapToGrid/>
                      <w:sz w:val="18"/>
                      <w:lang w:val="pl-PL"/>
                    </w:rPr>
                    <w:t>Stosować rękawice ochronne/odzież ochronną/ochronę oczu/ochronę twarzy.</w:t>
                  </w:r>
                  <w:r w:rsidRPr="00914FE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 xml:space="preserve"> </w:t>
                  </w:r>
                  <w:r w:rsidRPr="00914FE1">
                    <w:rPr>
                      <w:rFonts w:cs="Arial"/>
                      <w:b/>
                      <w:bCs/>
                      <w:snapToGrid/>
                      <w:sz w:val="18"/>
                      <w:lang w:val="pl-PL"/>
                    </w:rPr>
                    <w:tab/>
                  </w:r>
                </w:p>
                <w:p w:rsidR="00ED119C" w:rsidRPr="00260551" w:rsidRDefault="00ED119C" w:rsidP="000D6A28">
                  <w:pPr>
                    <w:framePr w:hSpace="141" w:wrap="around" w:vAnchor="text" w:hAnchor="margin" w:x="-170" w:y="24"/>
                    <w:spacing w:before="60" w:after="60"/>
                    <w:suppressOverlap/>
                    <w:rPr>
                      <w:rFonts w:cs="Arial"/>
                      <w:b/>
                      <w:bCs/>
                      <w:snapToGrid/>
                      <w:sz w:val="18"/>
                      <w:highlight w:val="yellow"/>
                      <w:lang w:val="pl-PL"/>
                    </w:rPr>
                  </w:pPr>
                </w:p>
              </w:tc>
            </w:tr>
          </w:tbl>
          <w:p w:rsidR="00710FBD" w:rsidRPr="0001072C" w:rsidRDefault="00710FBD" w:rsidP="00914FE1">
            <w:pPr>
              <w:tabs>
                <w:tab w:val="left" w:pos="8340"/>
              </w:tabs>
              <w:rPr>
                <w:rFonts w:cs="Arial"/>
                <w:bCs/>
                <w:snapToGrid/>
                <w:sz w:val="18"/>
                <w:lang w:val="pl-PL"/>
              </w:rPr>
            </w:pPr>
          </w:p>
          <w:p w:rsidR="00D12377" w:rsidRPr="0001072C" w:rsidRDefault="00D12377" w:rsidP="005F4AA6">
            <w:pPr>
              <w:numPr>
                <w:ilvl w:val="1"/>
                <w:numId w:val="2"/>
              </w:numPr>
              <w:spacing w:before="60" w:after="60"/>
              <w:ind w:left="567" w:hanging="567"/>
              <w:rPr>
                <w:rFonts w:cs="Arial"/>
                <w:bCs/>
                <w:snapToGrid/>
                <w:sz w:val="18"/>
                <w:lang w:val="pl-PL"/>
              </w:rPr>
            </w:pPr>
            <w:r w:rsidRPr="0001072C">
              <w:rPr>
                <w:rFonts w:cs="Arial"/>
                <w:bCs/>
                <w:snapToGrid/>
                <w:sz w:val="18"/>
                <w:lang w:val="pl-PL"/>
              </w:rPr>
              <w:t>Inne zagrożenia</w:t>
            </w:r>
          </w:p>
          <w:p w:rsidR="00D12377" w:rsidRPr="0001072C" w:rsidRDefault="0023737B" w:rsidP="00E1077F">
            <w:pPr>
              <w:ind w:left="567"/>
              <w:rPr>
                <w:sz w:val="18"/>
                <w:lang w:val="pl-PL"/>
              </w:rPr>
            </w:pPr>
            <w:r w:rsidRPr="0001072C">
              <w:rPr>
                <w:sz w:val="18"/>
                <w:lang w:val="pl-PL"/>
              </w:rPr>
              <w:t>Nie stwierdza się innych zagrożeń.</w:t>
            </w:r>
            <w:r w:rsidR="00E1077F" w:rsidRPr="0001072C">
              <w:rPr>
                <w:sz w:val="18"/>
                <w:lang w:val="pl-PL"/>
              </w:rPr>
              <w:t xml:space="preserve"> </w:t>
            </w:r>
          </w:p>
          <w:p w:rsidR="00E82E0F" w:rsidRPr="0001072C" w:rsidRDefault="00E82E0F" w:rsidP="00E1077F">
            <w:pPr>
              <w:ind w:left="567"/>
              <w:rPr>
                <w:sz w:val="18"/>
                <w:lang w:val="pl-PL"/>
              </w:rPr>
            </w:pPr>
          </w:p>
        </w:tc>
      </w:tr>
    </w:tbl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01072C" w:rsidRPr="000D6A28" w:rsidTr="00F3701C">
        <w:trPr>
          <w:trHeight w:val="458"/>
        </w:trPr>
        <w:tc>
          <w:tcPr>
            <w:tcW w:w="10490" w:type="dxa"/>
          </w:tcPr>
          <w:p w:rsidR="00D12377" w:rsidRPr="0001072C" w:rsidRDefault="00D12377" w:rsidP="00F3701C">
            <w:pPr>
              <w:pStyle w:val="CWHead"/>
              <w:keepNext/>
              <w:widowControl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1072C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Sekcja 3. </w:t>
            </w:r>
            <w:r w:rsidRPr="0001072C">
              <w:rPr>
                <w:rFonts w:ascii="Arial" w:hAnsi="Arial" w:cs="Arial"/>
                <w:sz w:val="22"/>
                <w:szCs w:val="22"/>
                <w:lang w:val="pl-PL"/>
              </w:rPr>
              <w:tab/>
              <w:t>SKŁAD / INFORMACJA O SKŁADNIKACH</w:t>
            </w:r>
          </w:p>
        </w:tc>
      </w:tr>
      <w:tr w:rsidR="0001072C" w:rsidRPr="000D6A28" w:rsidTr="00F3701C">
        <w:tc>
          <w:tcPr>
            <w:tcW w:w="10490" w:type="dxa"/>
          </w:tcPr>
          <w:p w:rsidR="00D12377" w:rsidRPr="0001072C" w:rsidRDefault="00D12377" w:rsidP="003B1CB7">
            <w:pPr>
              <w:pStyle w:val="Nagwek5"/>
              <w:keepNext w:val="0"/>
              <w:keepLines w:val="0"/>
              <w:widowControl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/>
              <w:ind w:left="601" w:hanging="567"/>
              <w:rPr>
                <w:rFonts w:ascii="Arial" w:hAnsi="Arial" w:cs="Arial"/>
                <w:b/>
                <w:sz w:val="18"/>
              </w:rPr>
            </w:pPr>
            <w:r w:rsidRPr="0001072C">
              <w:rPr>
                <w:rFonts w:ascii="Arial" w:hAnsi="Arial" w:cs="Arial"/>
                <w:b/>
                <w:sz w:val="18"/>
              </w:rPr>
              <w:t>Mieszanina</w:t>
            </w:r>
          </w:p>
          <w:p w:rsidR="0023737B" w:rsidRPr="0001072C" w:rsidRDefault="0023737B" w:rsidP="003B1CB7">
            <w:pPr>
              <w:spacing w:after="60"/>
              <w:rPr>
                <w:sz w:val="18"/>
                <w:lang w:val="pl-PL"/>
              </w:rPr>
            </w:pPr>
            <w:r w:rsidRPr="0001072C">
              <w:rPr>
                <w:sz w:val="18"/>
                <w:lang w:val="pl-PL"/>
              </w:rPr>
              <w:t>Składniki stanowiące zagrożenie dla zdrowia lub środowiska: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8"/>
              <w:gridCol w:w="1275"/>
              <w:gridCol w:w="1560"/>
              <w:gridCol w:w="1134"/>
              <w:gridCol w:w="1417"/>
              <w:gridCol w:w="2410"/>
            </w:tblGrid>
            <w:tr w:rsidR="0001072C" w:rsidRPr="0001072C" w:rsidTr="00C819F2">
              <w:trPr>
                <w:trHeight w:val="431"/>
              </w:trPr>
              <w:tc>
                <w:tcPr>
                  <w:tcW w:w="2298" w:type="dxa"/>
                </w:tcPr>
                <w:p w:rsidR="00C819F2" w:rsidRPr="0001072C" w:rsidRDefault="00C819F2" w:rsidP="00BB75F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val="pl-PL" w:eastAsia="en-US"/>
                    </w:rPr>
                  </w:pPr>
                  <w:r w:rsidRPr="0001072C">
                    <w:rPr>
                      <w:rFonts w:cs="Arial"/>
                      <w:sz w:val="18"/>
                      <w:szCs w:val="18"/>
                      <w:lang w:val="pl-PL" w:eastAsia="en-US"/>
                    </w:rPr>
                    <w:t>Nazwa chemiczna</w:t>
                  </w:r>
                </w:p>
                <w:p w:rsidR="00C819F2" w:rsidRPr="0001072C" w:rsidRDefault="00C819F2" w:rsidP="00BB75F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val="pl-PL" w:eastAsia="en-US"/>
                    </w:rPr>
                  </w:pPr>
                </w:p>
              </w:tc>
              <w:tc>
                <w:tcPr>
                  <w:tcW w:w="1275" w:type="dxa"/>
                </w:tcPr>
                <w:p w:rsidR="00C819F2" w:rsidRPr="0001072C" w:rsidRDefault="00C819F2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pl-PL" w:eastAsia="en-US"/>
                    </w:rPr>
                  </w:pPr>
                  <w:r w:rsidRPr="0001072C">
                    <w:rPr>
                      <w:rFonts w:cs="Arial"/>
                      <w:sz w:val="18"/>
                      <w:szCs w:val="18"/>
                      <w:lang w:val="pl-PL" w:eastAsia="en-US"/>
                    </w:rPr>
                    <w:t>Nr indeksowy</w:t>
                  </w:r>
                </w:p>
              </w:tc>
              <w:tc>
                <w:tcPr>
                  <w:tcW w:w="1560" w:type="dxa"/>
                </w:tcPr>
                <w:p w:rsidR="00C819F2" w:rsidRPr="0001072C" w:rsidRDefault="00C819F2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pl-PL" w:eastAsia="en-US"/>
                    </w:rPr>
                  </w:pPr>
                  <w:r w:rsidRPr="0001072C">
                    <w:rPr>
                      <w:rFonts w:cs="Arial"/>
                      <w:sz w:val="18"/>
                      <w:szCs w:val="18"/>
                      <w:lang w:val="pl-PL" w:eastAsia="en-US"/>
                    </w:rPr>
                    <w:t>Nr CAS</w:t>
                  </w:r>
                </w:p>
              </w:tc>
              <w:tc>
                <w:tcPr>
                  <w:tcW w:w="1134" w:type="dxa"/>
                </w:tcPr>
                <w:p w:rsidR="00C819F2" w:rsidRPr="0001072C" w:rsidRDefault="00C819F2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pl-PL" w:eastAsia="en-US"/>
                    </w:rPr>
                  </w:pPr>
                  <w:r w:rsidRPr="0001072C">
                    <w:rPr>
                      <w:rFonts w:cs="Arial"/>
                      <w:sz w:val="18"/>
                      <w:szCs w:val="18"/>
                      <w:lang w:val="pl-PL" w:eastAsia="en-US"/>
                    </w:rPr>
                    <w:t>Nr WE</w:t>
                  </w:r>
                </w:p>
              </w:tc>
              <w:tc>
                <w:tcPr>
                  <w:tcW w:w="1417" w:type="dxa"/>
                </w:tcPr>
                <w:p w:rsidR="00C819F2" w:rsidRPr="0001072C" w:rsidRDefault="00C819F2" w:rsidP="009F5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pl-PL" w:eastAsia="en-US"/>
                    </w:rPr>
                  </w:pPr>
                  <w:r w:rsidRPr="0001072C">
                    <w:rPr>
                      <w:rFonts w:cs="Arial"/>
                      <w:sz w:val="18"/>
                      <w:szCs w:val="18"/>
                      <w:lang w:val="pl-PL" w:eastAsia="en-US"/>
                    </w:rPr>
                    <w:t>Zawartość</w:t>
                  </w:r>
                  <w:r w:rsidRPr="0001072C">
                    <w:rPr>
                      <w:rFonts w:cs="Arial"/>
                      <w:sz w:val="18"/>
                      <w:szCs w:val="18"/>
                      <w:lang w:val="pl-PL" w:eastAsia="en-US"/>
                    </w:rPr>
                    <w:br/>
                  </w:r>
                </w:p>
              </w:tc>
              <w:tc>
                <w:tcPr>
                  <w:tcW w:w="2410" w:type="dxa"/>
                </w:tcPr>
                <w:p w:rsidR="00C819F2" w:rsidRPr="0001072C" w:rsidRDefault="00C819F2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pl-PL" w:eastAsia="en-US"/>
                    </w:rPr>
                  </w:pPr>
                  <w:r w:rsidRPr="0001072C">
                    <w:rPr>
                      <w:rFonts w:cs="Arial"/>
                      <w:sz w:val="18"/>
                      <w:szCs w:val="18"/>
                      <w:lang w:val="pl-PL" w:eastAsia="en-US"/>
                    </w:rPr>
                    <w:t>Klasyfikacja wg CLP</w:t>
                  </w:r>
                </w:p>
              </w:tc>
            </w:tr>
            <w:tr w:rsidR="0001072C" w:rsidRPr="004B49C1" w:rsidTr="00C819F2">
              <w:trPr>
                <w:trHeight w:val="431"/>
              </w:trPr>
              <w:tc>
                <w:tcPr>
                  <w:tcW w:w="2298" w:type="dxa"/>
                </w:tcPr>
                <w:p w:rsidR="00C819F2" w:rsidRPr="00E63A08" w:rsidRDefault="008947F1" w:rsidP="00E63A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en-US"/>
                    </w:rPr>
                    <w:t>Nikosulfuron</w:t>
                  </w:r>
                </w:p>
              </w:tc>
              <w:tc>
                <w:tcPr>
                  <w:tcW w:w="1275" w:type="dxa"/>
                </w:tcPr>
                <w:p w:rsidR="00C819F2" w:rsidRPr="0001072C" w:rsidRDefault="008947F1" w:rsidP="0089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C819F2" w:rsidRPr="00E63A08" w:rsidRDefault="008947F1" w:rsidP="002605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601-148-4</w:t>
                  </w:r>
                </w:p>
              </w:tc>
              <w:tc>
                <w:tcPr>
                  <w:tcW w:w="1134" w:type="dxa"/>
                </w:tcPr>
                <w:p w:rsidR="00C819F2" w:rsidRPr="00E63A08" w:rsidRDefault="008947F1" w:rsidP="00ED1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C819F2" w:rsidRPr="00E63A08" w:rsidRDefault="008947F1" w:rsidP="002605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40 g/kg</w:t>
                  </w:r>
                </w:p>
              </w:tc>
              <w:tc>
                <w:tcPr>
                  <w:tcW w:w="2410" w:type="dxa"/>
                </w:tcPr>
                <w:p w:rsidR="008947F1" w:rsidRPr="007873CF" w:rsidRDefault="008947F1" w:rsidP="0089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7873CF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Eye Irrit. 2; H319 </w:t>
                  </w:r>
                </w:p>
                <w:p w:rsidR="008947F1" w:rsidRPr="008947F1" w:rsidRDefault="008947F1" w:rsidP="0089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8947F1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Skin Irrit. 2; H315; </w:t>
                  </w:r>
                </w:p>
                <w:p w:rsidR="00E63A08" w:rsidRPr="008947F1" w:rsidRDefault="00E63A08" w:rsidP="0089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8947F1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Aquatic Acute 1 H400;</w:t>
                  </w:r>
                </w:p>
                <w:p w:rsidR="00C819F2" w:rsidRPr="004B49C1" w:rsidRDefault="00E63A08" w:rsidP="00E63A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E63A08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Aquatic Chronic 1 H410</w:t>
                  </w:r>
                </w:p>
              </w:tc>
            </w:tr>
          </w:tbl>
          <w:p w:rsidR="00D12377" w:rsidRPr="00260551" w:rsidRDefault="00D12377" w:rsidP="00BB75FE">
            <w:pPr>
              <w:rPr>
                <w:sz w:val="18"/>
                <w:lang w:val="en-US"/>
              </w:rPr>
            </w:pPr>
          </w:p>
          <w:p w:rsidR="00D12377" w:rsidRPr="0001072C" w:rsidRDefault="00D12377" w:rsidP="00BB75FE">
            <w:pPr>
              <w:rPr>
                <w:sz w:val="18"/>
                <w:lang w:val="pl-PL"/>
              </w:rPr>
            </w:pPr>
            <w:r w:rsidRPr="0001072C">
              <w:rPr>
                <w:sz w:val="18"/>
                <w:lang w:val="pl-PL"/>
              </w:rPr>
              <w:t xml:space="preserve">Pełne brzmienie </w:t>
            </w:r>
            <w:r w:rsidR="001D41CB" w:rsidRPr="0001072C">
              <w:rPr>
                <w:sz w:val="18"/>
                <w:lang w:val="pl-PL"/>
              </w:rPr>
              <w:t xml:space="preserve">symboli i </w:t>
            </w:r>
            <w:r w:rsidR="00C819F2" w:rsidRPr="0001072C">
              <w:rPr>
                <w:sz w:val="18"/>
                <w:lang w:val="pl-PL"/>
              </w:rPr>
              <w:t xml:space="preserve">zwrotów </w:t>
            </w:r>
            <w:r w:rsidR="004F7512" w:rsidRPr="0001072C">
              <w:rPr>
                <w:sz w:val="18"/>
                <w:lang w:val="pl-PL"/>
              </w:rPr>
              <w:t>H</w:t>
            </w:r>
            <w:r w:rsidRPr="0001072C">
              <w:rPr>
                <w:sz w:val="18"/>
                <w:lang w:val="pl-PL"/>
              </w:rPr>
              <w:t xml:space="preserve"> </w:t>
            </w:r>
            <w:r w:rsidR="005125F0" w:rsidRPr="0001072C">
              <w:rPr>
                <w:sz w:val="18"/>
                <w:lang w:val="pl-PL"/>
              </w:rPr>
              <w:t xml:space="preserve">znajduje się </w:t>
            </w:r>
            <w:r w:rsidRPr="0001072C">
              <w:rPr>
                <w:sz w:val="18"/>
                <w:lang w:val="pl-PL"/>
              </w:rPr>
              <w:t>w Sekcji 16.</w:t>
            </w:r>
          </w:p>
        </w:tc>
      </w:tr>
    </w:tbl>
    <w:p w:rsidR="00D12377" w:rsidRPr="009C56A7" w:rsidRDefault="00D12377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9C56A7" w:rsidTr="00F3701C">
        <w:tc>
          <w:tcPr>
            <w:tcW w:w="10490" w:type="dxa"/>
          </w:tcPr>
          <w:p w:rsidR="00D12377" w:rsidRPr="009C56A7" w:rsidRDefault="00D12377" w:rsidP="00BB75F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4.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ŚRODKI PIERWSZEJ POMOCY</w:t>
            </w:r>
          </w:p>
        </w:tc>
      </w:tr>
      <w:tr w:rsidR="009C56A7" w:rsidRPr="000D6A28" w:rsidTr="00F3701C">
        <w:tc>
          <w:tcPr>
            <w:tcW w:w="10490" w:type="dxa"/>
          </w:tcPr>
          <w:p w:rsidR="00D12377" w:rsidRPr="009C56A7" w:rsidRDefault="00D12377" w:rsidP="003B1CB7">
            <w:pPr>
              <w:tabs>
                <w:tab w:val="left" w:pos="8820"/>
              </w:tabs>
              <w:spacing w:after="60"/>
              <w:ind w:left="601" w:hanging="567"/>
              <w:rPr>
                <w:rFonts w:cs="Arial"/>
                <w:b/>
                <w:sz w:val="18"/>
                <w:lang w:val="pl-PL"/>
              </w:rPr>
            </w:pPr>
            <w:r w:rsidRPr="009C56A7">
              <w:rPr>
                <w:rFonts w:cs="Arial"/>
                <w:b/>
                <w:sz w:val="18"/>
                <w:lang w:val="pl-PL"/>
              </w:rPr>
              <w:t xml:space="preserve">4.1. </w:t>
            </w:r>
            <w:r w:rsidRPr="009C56A7">
              <w:rPr>
                <w:rFonts w:cs="Arial"/>
                <w:b/>
                <w:sz w:val="18"/>
                <w:lang w:val="pl-PL"/>
              </w:rPr>
              <w:tab/>
              <w:t>Opis środków pierwszej pomocy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sz w:val="18"/>
                <w:u w:val="single"/>
                <w:lang w:val="pl-PL"/>
              </w:rPr>
              <w:t>Zalecenia ogólne: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Unikać kontaktu ze skórą, oczami i odzieżą. Zanieczyszczoną odzież zdjąć i wyprać przed ponownym użyciem. W przypadku awarii lub jeżeli źle się poczujesz, niezwłocznie zasięgnij porady lekarza jeżeli to możliwe, pokaż etykietę.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0"/>
                <w:szCs w:val="10"/>
                <w:lang w:val="pl-PL"/>
              </w:rPr>
            </w:pP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sz w:val="18"/>
                <w:u w:val="single"/>
                <w:lang w:val="pl-PL"/>
              </w:rPr>
              <w:t>Postępowanie w przypadku: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- wdychania: wyprowadzić poszkodowanego na świeże powietrze. W razie potrzeby podać tlen lub zastosować sztuczne oddychanie. W przypadku silniejszego zatrucia zasięgnąć porady lekarza. </w:t>
            </w:r>
          </w:p>
          <w:p w:rsidR="008947F1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- skażenia skóry: </w:t>
            </w:r>
            <w:r w:rsidR="008947F1" w:rsidRPr="008947F1">
              <w:rPr>
                <w:rFonts w:cs="Arial"/>
                <w:sz w:val="18"/>
                <w:lang w:val="pl-PL"/>
              </w:rPr>
              <w:t xml:space="preserve">Wyprowadzić poszkodowanego z miejsca narażenia. Zdjąć zanieczyszczoną odzież i buty. Spłukać skórę dużą ilością bieżącej wody. Następnie umyć skórę wodą z mydłem. Zasięgnąć porady medycznej. W przypadku wystąpienia podrażnienia skóry lub wysypki: zgłosić się pod opiekę lekarza. 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- zanieczyszczenia oczu: bezzwłocznie przemyć oczy dużą ilością wody, również pod powiekami. W przypadku utrzymywania się działania drażniącego na oczy: Zasięgnąć porady/zgłosić się pod opiekę lekarza.</w:t>
            </w:r>
          </w:p>
          <w:p w:rsidR="001E6044" w:rsidRPr="009C56A7" w:rsidRDefault="00963276" w:rsidP="0081490E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- połknięcia: nie prowokować wymiotów bez zasięgnięcia porady lekarza. Wypłukać usta wodą. Nie podawać niczego doustnie, jeśli poszkodowana osoba jest nieprzytomna. </w:t>
            </w:r>
            <w:r w:rsidR="0081490E">
              <w:rPr>
                <w:rFonts w:cs="Arial"/>
                <w:sz w:val="18"/>
                <w:lang w:val="pl-PL"/>
              </w:rPr>
              <w:t xml:space="preserve">         </w:t>
            </w:r>
          </w:p>
          <w:p w:rsidR="001E6044" w:rsidRPr="009C56A7" w:rsidRDefault="001E6044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           W przypadku dostania się do ust lub połknięcia następujące środki powinny być rozpatrzone: płukanie żołądka z węglem, jeżeli niezbędne</w:t>
            </w:r>
            <w:r w:rsidR="0046311B" w:rsidRPr="009C56A7">
              <w:rPr>
                <w:rFonts w:cs="Arial"/>
                <w:sz w:val="18"/>
                <w:lang w:val="pl-PL"/>
              </w:rPr>
              <w:t xml:space="preserve"> -</w:t>
            </w:r>
            <w:r w:rsidRPr="009C56A7">
              <w:rPr>
                <w:rFonts w:cs="Arial"/>
                <w:sz w:val="18"/>
                <w:lang w:val="pl-PL"/>
              </w:rPr>
              <w:t xml:space="preserve"> dalsze zabiegi.</w:t>
            </w:r>
          </w:p>
          <w:p w:rsidR="00D12377" w:rsidRPr="009C56A7" w:rsidRDefault="00D12377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b/>
                <w:sz w:val="18"/>
                <w:lang w:val="pl-PL"/>
              </w:rPr>
            </w:pPr>
            <w:r w:rsidRPr="009C56A7">
              <w:rPr>
                <w:rFonts w:cs="Arial"/>
                <w:b/>
                <w:sz w:val="18"/>
                <w:lang w:val="pl-PL"/>
              </w:rPr>
              <w:t xml:space="preserve">4.2. </w:t>
            </w:r>
            <w:r w:rsidRPr="009C56A7">
              <w:rPr>
                <w:rFonts w:cs="Arial"/>
                <w:b/>
                <w:sz w:val="18"/>
                <w:lang w:val="pl-PL"/>
              </w:rPr>
              <w:tab/>
              <w:t>Najważniejsze ostre i opóźnione objawy oraz skutki narażenia</w:t>
            </w:r>
          </w:p>
          <w:p w:rsidR="00AF638A" w:rsidRDefault="005125F0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ab/>
            </w:r>
            <w:r w:rsidR="00AF638A" w:rsidRPr="00AF638A">
              <w:rPr>
                <w:rFonts w:cs="Arial"/>
                <w:sz w:val="18"/>
                <w:lang w:val="pl-PL"/>
              </w:rPr>
              <w:t>Po kontakcie ze skórą może wystąpić: podrażnienie skóry, rumień, wysypka. Inne objawy i skutki nie są znane.</w:t>
            </w:r>
          </w:p>
          <w:p w:rsidR="00D12377" w:rsidRPr="009C56A7" w:rsidRDefault="0039196C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b/>
                <w:sz w:val="18"/>
                <w:lang w:val="pl-PL"/>
              </w:rPr>
            </w:pPr>
            <w:r w:rsidRPr="009C56A7">
              <w:rPr>
                <w:rFonts w:cs="Arial"/>
                <w:b/>
                <w:sz w:val="18"/>
                <w:lang w:val="pl-PL"/>
              </w:rPr>
              <w:t>4.3</w:t>
            </w:r>
            <w:r w:rsidR="00D12377" w:rsidRPr="009C56A7">
              <w:rPr>
                <w:rFonts w:cs="Arial"/>
                <w:b/>
                <w:sz w:val="18"/>
                <w:lang w:val="pl-PL"/>
              </w:rPr>
              <w:t xml:space="preserve">. </w:t>
            </w:r>
            <w:r w:rsidR="00D12377" w:rsidRPr="009C56A7">
              <w:rPr>
                <w:rFonts w:cs="Arial"/>
                <w:b/>
                <w:sz w:val="18"/>
                <w:lang w:val="pl-PL"/>
              </w:rPr>
              <w:tab/>
              <w:t>Wskazania dotyczące wszelkiej natychmiastowej pomocy lekarskie</w:t>
            </w:r>
            <w:r w:rsidR="00AD7CA3" w:rsidRPr="009C56A7">
              <w:rPr>
                <w:rFonts w:cs="Arial"/>
                <w:b/>
                <w:sz w:val="18"/>
                <w:lang w:val="pl-PL"/>
              </w:rPr>
              <w:t>j i szczególnego postępowania z </w:t>
            </w:r>
            <w:r w:rsidR="00D12377" w:rsidRPr="009C56A7">
              <w:rPr>
                <w:rFonts w:cs="Arial"/>
                <w:b/>
                <w:sz w:val="18"/>
                <w:lang w:val="pl-PL"/>
              </w:rPr>
              <w:t>poszkodowanym</w:t>
            </w:r>
          </w:p>
          <w:p w:rsidR="00D12377" w:rsidRPr="009C56A7" w:rsidRDefault="001E6044" w:rsidP="00BB75FE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Decyzję o sposobie postępowania podejmuje lekarz po ocenie stanu poszkodowanego</w:t>
            </w:r>
            <w:r w:rsidR="008914AC" w:rsidRPr="009C56A7">
              <w:rPr>
                <w:rFonts w:cs="Arial"/>
                <w:sz w:val="18"/>
                <w:lang w:val="pl-PL"/>
              </w:rPr>
              <w:t>.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Antidotum: brak.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Stosować leczenie objawowe.</w:t>
            </w:r>
          </w:p>
        </w:tc>
      </w:tr>
    </w:tbl>
    <w:p w:rsidR="00D12377" w:rsidRPr="009C56A7" w:rsidRDefault="00D12377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0D6A28" w:rsidTr="00F3701C">
        <w:tc>
          <w:tcPr>
            <w:tcW w:w="10490" w:type="dxa"/>
          </w:tcPr>
          <w:p w:rsidR="00D12377" w:rsidRPr="009C56A7" w:rsidRDefault="00D12377" w:rsidP="00BB75F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5.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POSTĘPOWANIE W PRZYPADKU POŻARU</w:t>
            </w:r>
          </w:p>
        </w:tc>
      </w:tr>
      <w:tr w:rsidR="009C56A7" w:rsidRPr="000D6A28" w:rsidTr="00F3701C">
        <w:tc>
          <w:tcPr>
            <w:tcW w:w="10490" w:type="dxa"/>
          </w:tcPr>
          <w:p w:rsidR="00D12377" w:rsidRPr="009C56A7" w:rsidRDefault="00D12377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u w:val="single"/>
                <w:lang w:val="pl-PL"/>
              </w:rPr>
              <w:t>Zalecenia ogólne</w:t>
            </w:r>
            <w:r w:rsidRPr="009C56A7">
              <w:rPr>
                <w:rFonts w:cs="Arial"/>
                <w:bCs/>
                <w:sz w:val="18"/>
                <w:lang w:val="pl-PL"/>
              </w:rPr>
              <w:t>:</w:t>
            </w:r>
          </w:p>
          <w:p w:rsidR="00D12377" w:rsidRPr="009C56A7" w:rsidRDefault="00D12377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>Usunąć z zagrożonego obszaru osoby niepowołane, niebiorące udziału w likwidowaniu pożaru. Usunąć źródła zapłonu, nie palić. W razie potrzeby wezwać Straż Pożarną.</w:t>
            </w:r>
            <w:r w:rsidR="007B596F" w:rsidRPr="00C819F2">
              <w:rPr>
                <w:lang w:val="pl-PL"/>
              </w:rPr>
              <w:t xml:space="preserve"> </w:t>
            </w:r>
            <w:r w:rsidR="007B596F" w:rsidRPr="007B596F">
              <w:rPr>
                <w:rFonts w:cs="Arial"/>
                <w:bCs/>
                <w:sz w:val="18"/>
                <w:lang w:val="pl-PL"/>
              </w:rPr>
              <w:t>Nie wdychać dymów powstających w wyniku pożaru lub wybuchu.</w:t>
            </w:r>
          </w:p>
          <w:p w:rsidR="00D12377" w:rsidRPr="009C56A7" w:rsidRDefault="00D12377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5.1.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Środki gaśnicze</w:t>
            </w:r>
          </w:p>
          <w:p w:rsidR="001E6044" w:rsidRPr="009C56A7" w:rsidRDefault="001E6044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Odpowiednie środki gaśnicze: piana alkoholoodporna lub suche proszki gaśnicze (A,B,C), dwutlenek węgla (gaśnica śniegowa), piasek lub ziemia, mgła wodna. Stosować metody gaśnicze odpowiednie do warunków otoczenia. </w:t>
            </w:r>
          </w:p>
          <w:p w:rsidR="001E6044" w:rsidRPr="009C56A7" w:rsidRDefault="001E6044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Niewłaściwe środki gaśnicze: Silny strumień wody. </w:t>
            </w:r>
          </w:p>
          <w:p w:rsidR="00D12377" w:rsidRPr="009C56A7" w:rsidRDefault="00D12377" w:rsidP="001E6044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5.2.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Szczególne zagrożenia związane z mieszaniną</w:t>
            </w:r>
          </w:p>
          <w:p w:rsidR="00963276" w:rsidRPr="009C56A7" w:rsidRDefault="001E6044" w:rsidP="00963276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W trakcie pożaru w wysokich temperaturach uwalniają się niebezpieczne produkty rozkładu – tlenki węgla, tlenki azotu,              związki chloru. </w:t>
            </w:r>
          </w:p>
          <w:p w:rsidR="00501F3E" w:rsidRPr="009C56A7" w:rsidRDefault="00501F3E" w:rsidP="00963276">
            <w:pPr>
              <w:tabs>
                <w:tab w:val="left" w:pos="8820"/>
              </w:tabs>
              <w:ind w:left="601"/>
              <w:rPr>
                <w:rFonts w:cs="Arial"/>
                <w:bCs/>
                <w:sz w:val="10"/>
                <w:szCs w:val="10"/>
                <w:lang w:val="pl-PL"/>
              </w:rPr>
            </w:pPr>
          </w:p>
          <w:p w:rsidR="00D12377" w:rsidRPr="009C56A7" w:rsidRDefault="00963276" w:rsidP="00963276">
            <w:pPr>
              <w:tabs>
                <w:tab w:val="left" w:pos="8820"/>
              </w:tabs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5.3.      </w:t>
            </w:r>
            <w:r w:rsidR="00D12377" w:rsidRPr="009C56A7">
              <w:rPr>
                <w:rFonts w:cs="Arial"/>
                <w:b/>
                <w:bCs/>
                <w:sz w:val="18"/>
                <w:lang w:val="pl-PL"/>
              </w:rPr>
              <w:t>Informacje dla Straży Pożarnej</w:t>
            </w:r>
          </w:p>
          <w:p w:rsidR="00963276" w:rsidRPr="009C56A7" w:rsidRDefault="00963276" w:rsidP="00963276">
            <w:pPr>
              <w:tabs>
                <w:tab w:val="left" w:pos="8820"/>
              </w:tabs>
              <w:rPr>
                <w:rFonts w:cs="Arial"/>
                <w:b/>
                <w:bCs/>
                <w:sz w:val="10"/>
                <w:szCs w:val="10"/>
                <w:lang w:val="pl-PL"/>
              </w:rPr>
            </w:pPr>
          </w:p>
          <w:p w:rsidR="00D12377" w:rsidRPr="009C56A7" w:rsidRDefault="001E6044" w:rsidP="00963276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Pojemniki znajdujące się w strefie pożaru chłodzić rozproszonym strumieniem wody, o ile jest to możliwe usunąć ze strefy zagrożenia. W przypadku pożaru w zamkniętym pomieszczeniu należy stosować odzież ochronną i aparat oddechowy na sprężone powietrze. Nie dopuszczać do przedostania się wody gaśniczej do wód powierzchniowych, gruntowych i kanalizacji.</w:t>
            </w:r>
            <w:r w:rsidR="00963276" w:rsidRPr="009C56A7">
              <w:rPr>
                <w:rFonts w:cs="Arial"/>
                <w:sz w:val="18"/>
                <w:lang w:val="pl-PL"/>
              </w:rPr>
              <w:t xml:space="preserve"> Pozostałości po pożarze i zanieczyszczoną wodę gaśniczą unieszkodliwić zgodnie z przepisami.</w:t>
            </w:r>
          </w:p>
        </w:tc>
      </w:tr>
      <w:tr w:rsidR="009C56A7" w:rsidRPr="000D6A28" w:rsidTr="00525EE4">
        <w:trPr>
          <w:trHeight w:val="80"/>
        </w:trPr>
        <w:tc>
          <w:tcPr>
            <w:tcW w:w="10490" w:type="dxa"/>
          </w:tcPr>
          <w:p w:rsidR="001E6044" w:rsidRPr="009C56A7" w:rsidRDefault="001E6044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u w:val="single"/>
                <w:lang w:val="pl-PL"/>
              </w:rPr>
            </w:pPr>
          </w:p>
        </w:tc>
      </w:tr>
      <w:tr w:rsidR="009C56A7" w:rsidRPr="000D6A28" w:rsidTr="00F3701C">
        <w:tc>
          <w:tcPr>
            <w:tcW w:w="10490" w:type="dxa"/>
            <w:shd w:val="clear" w:color="auto" w:fill="auto"/>
          </w:tcPr>
          <w:p w:rsidR="00D12377" w:rsidRPr="009C56A7" w:rsidRDefault="00D12377" w:rsidP="0054037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Sekcja 6.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 xml:space="preserve">POSTĘPOWANIE W PRZYPADKU NIEZAMIERZONEGO UWOLNIENIA DO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ŚRODOWISKA</w:t>
            </w:r>
          </w:p>
        </w:tc>
      </w:tr>
      <w:tr w:rsidR="009C56A7" w:rsidRPr="000D6A28" w:rsidTr="006A523A">
        <w:trPr>
          <w:trHeight w:val="3164"/>
        </w:trPr>
        <w:tc>
          <w:tcPr>
            <w:tcW w:w="10490" w:type="dxa"/>
            <w:shd w:val="clear" w:color="auto" w:fill="auto"/>
          </w:tcPr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6.1.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EUAlbertina"/>
                <w:b/>
                <w:sz w:val="18"/>
                <w:lang w:val="pl-PL"/>
              </w:rPr>
              <w:t>Indywidualne środki ostrożności, wyposażenie ochronne i procedury w sytuacjach awaryjnych</w:t>
            </w:r>
          </w:p>
          <w:p w:rsidR="006A523A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Używać środków ochrony osobistej – odzież ochronna, rękawice ochronne, osłona twarzy. Unikać kontaktu z rozlanym lub uwolnionym materiałem. Unikać kontaktu ze skórą, oczami i odzieżą. Ograniczyć dostęp osób postronnych do obszaru awarii do czasu zakończenia odpowiednich operacji oczyszczania. </w:t>
            </w:r>
          </w:p>
          <w:p w:rsidR="001E6044" w:rsidRPr="009C56A7" w:rsidRDefault="00D12377" w:rsidP="001E604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6.2.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Środki ostrożności w zakresie ochrony środowiska</w:t>
            </w:r>
          </w:p>
          <w:p w:rsidR="006A523A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Nie wprowadzać do kanalizacji. Nie dopuszczać aby środek dostał się do ścieków, kanalizacji lub cieków wodnych. Używać odpowiednich pojemników zapobiegających skażeniu środowiska. W przypadku skażenia środowiska powiadomić odpowiednie służby. </w:t>
            </w:r>
          </w:p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>6.3.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Metody i materiały zapobiegające rozprzestrzenianiu się skażenia i służące do usuwania skażenia</w:t>
            </w:r>
          </w:p>
          <w:p w:rsidR="001E6044" w:rsidRPr="009C56A7" w:rsidRDefault="001E6044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Zapobiegać rozpr</w:t>
            </w:r>
            <w:r w:rsidR="00BA1279">
              <w:rPr>
                <w:rFonts w:cs="Arial"/>
                <w:sz w:val="18"/>
                <w:lang w:val="pl-PL"/>
              </w:rPr>
              <w:t>zestrzenianiu się i u</w:t>
            </w:r>
            <w:r w:rsidRPr="009C56A7">
              <w:rPr>
                <w:rFonts w:cs="Arial"/>
                <w:sz w:val="18"/>
                <w:lang w:val="pl-PL"/>
              </w:rPr>
              <w:t xml:space="preserve">suwać poprzez zebranie na odpowiednim materiale absorpcyjnym wiążącym ciecze (piasek, ziemia okrzemkowa, trociny, materiał wiążący uniwersalny). </w:t>
            </w:r>
            <w:r w:rsidR="00CD12E4" w:rsidRPr="00CD12E4">
              <w:rPr>
                <w:rFonts w:cs="Arial"/>
                <w:sz w:val="18"/>
                <w:lang w:val="pl-PL"/>
              </w:rPr>
              <w:t xml:space="preserve">Zebrać uszkodzone pojemniki i umieścić w szczelnym opakowaniu zastępczym. </w:t>
            </w:r>
            <w:r w:rsidRPr="009C56A7">
              <w:rPr>
                <w:rFonts w:cs="Arial"/>
                <w:sz w:val="18"/>
                <w:lang w:val="pl-PL"/>
              </w:rPr>
              <w:t xml:space="preserve">Zebrać zanieczyszczony materiał do odpowiednio oznakowanych pojemników w celu utylizacji zgodnie z obowiązującymi przepisami. </w:t>
            </w:r>
            <w:r w:rsidR="00CD12E4" w:rsidRPr="00CD12E4">
              <w:rPr>
                <w:rFonts w:cs="Arial"/>
                <w:sz w:val="18"/>
                <w:lang w:val="pl-PL"/>
              </w:rPr>
              <w:t>Zmyć miejsce awarii po zupełnym zebraniu materiału, pomieszczenie wywietrzyć.</w:t>
            </w:r>
          </w:p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EUAlbertina"/>
                <w:b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6.4.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EUAlbertina"/>
                <w:b/>
                <w:sz w:val="18"/>
                <w:lang w:val="pl-PL"/>
              </w:rPr>
              <w:t>Odniesienia do innych sekcji</w:t>
            </w:r>
          </w:p>
          <w:p w:rsidR="006A523A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Usuwać zgodnie z zaleceniami zamieszczonymi w Sekcji 13. Karty.</w:t>
            </w:r>
          </w:p>
          <w:p w:rsidR="005750A1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Podczas oczyszczania stosować środki ochrony indywidualnej wyszczególnione w Sekcji 8.</w:t>
            </w:r>
          </w:p>
        </w:tc>
      </w:tr>
    </w:tbl>
    <w:p w:rsidR="00D12377" w:rsidRPr="009C56A7" w:rsidRDefault="00D12377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0D6A28" w:rsidTr="00F3701C">
        <w:tc>
          <w:tcPr>
            <w:tcW w:w="10490" w:type="dxa"/>
          </w:tcPr>
          <w:p w:rsidR="00D12377" w:rsidRPr="009C56A7" w:rsidRDefault="00D12377" w:rsidP="00793A70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7.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POSTĘPOWANIE Z SUBSTANCJAMI I MIESZANINAMI ORAZ ICH MAGAZYNOWANIE</w:t>
            </w:r>
          </w:p>
        </w:tc>
      </w:tr>
      <w:tr w:rsidR="009C56A7" w:rsidRPr="000D6A28" w:rsidTr="00F3701C">
        <w:trPr>
          <w:trHeight w:val="223"/>
        </w:trPr>
        <w:tc>
          <w:tcPr>
            <w:tcW w:w="10490" w:type="dxa"/>
          </w:tcPr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  <w:lang w:val="pl-PL"/>
              </w:rPr>
            </w:pPr>
            <w:r w:rsidRPr="009C56A7">
              <w:rPr>
                <w:rFonts w:cs="Arial"/>
                <w:b/>
                <w:sz w:val="18"/>
                <w:lang w:val="pl-PL"/>
              </w:rPr>
              <w:t xml:space="preserve">7.1. </w:t>
            </w:r>
            <w:r w:rsidRPr="009C56A7">
              <w:rPr>
                <w:rFonts w:cs="Arial"/>
                <w:b/>
                <w:sz w:val="18"/>
                <w:lang w:val="pl-PL"/>
              </w:rPr>
              <w:tab/>
            </w:r>
            <w:r w:rsidRPr="009C56A7">
              <w:rPr>
                <w:rFonts w:cs="EUAlbertina"/>
                <w:b/>
                <w:sz w:val="18"/>
                <w:lang w:val="pl-PL"/>
              </w:rPr>
              <w:t>Środki ostrożności dotyczące bezpiecznego postępowania</w:t>
            </w:r>
          </w:p>
          <w:p w:rsidR="001E6044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 xml:space="preserve">Przestrzegać zasad i przepisów BHP dotyczących pracy z chemikaliami. Nie jeść, nie pić i nie palić tytoniu podczas stosowania produktu. Zdjąć zanieczyszczona odzież i sprzęt ochronny przed wejściem do miejsc przeznaczonych do spożywania posiłków. </w:t>
            </w:r>
            <w:r w:rsidR="0046311B" w:rsidRPr="009C56A7">
              <w:rPr>
                <w:rFonts w:cs="Arial"/>
                <w:sz w:val="18"/>
                <w:lang w:val="pl-PL"/>
              </w:rPr>
              <w:t xml:space="preserve">Wyprać zanieczyszczoną odzież przed ponownym użyciem. </w:t>
            </w:r>
            <w:r w:rsidR="001E6044" w:rsidRPr="009C56A7">
              <w:rPr>
                <w:rFonts w:cs="Arial"/>
                <w:sz w:val="18"/>
                <w:lang w:val="pl-PL"/>
              </w:rPr>
              <w:t xml:space="preserve">Unikać rozlewania. Unikać wdychania par produktu. </w:t>
            </w:r>
            <w:r w:rsidR="00375950">
              <w:rPr>
                <w:rFonts w:cs="Arial"/>
                <w:sz w:val="18"/>
                <w:lang w:val="pl-PL"/>
              </w:rPr>
              <w:t xml:space="preserve">Myć ręce po użyciu produktu. </w:t>
            </w:r>
            <w:r w:rsidR="001E6044" w:rsidRPr="009C56A7">
              <w:rPr>
                <w:rFonts w:cs="Arial"/>
                <w:sz w:val="18"/>
                <w:lang w:val="pl-PL"/>
              </w:rPr>
              <w:t xml:space="preserve">Unikać podwyższonej temperatury, gorących powierzchni i otwartego ognia. </w:t>
            </w:r>
            <w:r w:rsidRPr="009C56A7">
              <w:rPr>
                <w:rFonts w:cs="Arial"/>
                <w:sz w:val="18"/>
                <w:lang w:val="pl-PL"/>
              </w:rPr>
              <w:t>Stosować środki ochrony indywidualnej wyszczególnione w Sekcji 8.</w:t>
            </w:r>
          </w:p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sz w:val="18"/>
                <w:lang w:val="pl-PL"/>
              </w:rPr>
            </w:pPr>
            <w:r w:rsidRPr="009C56A7">
              <w:rPr>
                <w:rFonts w:cs="Arial"/>
                <w:b/>
                <w:sz w:val="18"/>
                <w:lang w:val="pl-PL"/>
              </w:rPr>
              <w:t>7.2.</w:t>
            </w:r>
            <w:r w:rsidRPr="009C56A7">
              <w:rPr>
                <w:rFonts w:cs="Arial"/>
                <w:b/>
                <w:sz w:val="18"/>
                <w:lang w:val="pl-PL"/>
              </w:rPr>
              <w:tab/>
            </w:r>
            <w:r w:rsidRPr="009C56A7">
              <w:rPr>
                <w:rFonts w:cs="EUAlbertina"/>
                <w:b/>
                <w:sz w:val="18"/>
                <w:lang w:val="pl-PL"/>
              </w:rPr>
              <w:t xml:space="preserve">Warunki bezpiecznego magazynowania, łącznie z informacjami dotyczącymi wszelkich wzajemnych </w:t>
            </w:r>
            <w:r w:rsidR="006E7D80" w:rsidRPr="009C56A7">
              <w:rPr>
                <w:rFonts w:cs="EUAlbertina"/>
                <w:b/>
                <w:sz w:val="18"/>
                <w:lang w:val="pl-PL"/>
              </w:rPr>
              <w:tab/>
            </w:r>
            <w:r w:rsidRPr="009C56A7">
              <w:rPr>
                <w:rFonts w:cs="EUAlbertina"/>
                <w:b/>
                <w:sz w:val="18"/>
                <w:lang w:val="pl-PL"/>
              </w:rPr>
              <w:t>niezgodności</w:t>
            </w:r>
          </w:p>
          <w:p w:rsidR="006A523A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Przechowywać wyłącznie w szczelnie zamkniętym oryginalnym opakowaniu w miejscu suchym w temperaturze nie niższej niż 0 °C i nie wyższej niż 30 °C. Przechowywać w miejscach niedostępnych dla osób niepowołanych. Przechowywać z dala od dzieci i zwierząt. Nie przechowywać razem z żywnością, napojami i paszami dla zwierząt. Przechowywać z dala od źródeł ciepła i nagrzanych powierzchni.</w:t>
            </w:r>
          </w:p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sz w:val="18"/>
                <w:lang w:val="pl-PL"/>
              </w:rPr>
            </w:pPr>
            <w:r w:rsidRPr="009C56A7">
              <w:rPr>
                <w:rFonts w:cs="Arial"/>
                <w:b/>
                <w:sz w:val="18"/>
                <w:lang w:val="pl-PL"/>
              </w:rPr>
              <w:t xml:space="preserve">7.3. </w:t>
            </w:r>
            <w:r w:rsidRPr="009C56A7">
              <w:rPr>
                <w:rFonts w:cs="Arial"/>
                <w:b/>
                <w:sz w:val="18"/>
                <w:lang w:val="pl-PL"/>
              </w:rPr>
              <w:tab/>
            </w:r>
            <w:r w:rsidRPr="009C56A7">
              <w:rPr>
                <w:rFonts w:cs="EUAlbertina"/>
                <w:b/>
                <w:sz w:val="18"/>
                <w:lang w:val="pl-PL"/>
              </w:rPr>
              <w:t>Szczególne zastosowanie(-a) końcowe</w:t>
            </w:r>
          </w:p>
          <w:p w:rsidR="00D12377" w:rsidRPr="009C56A7" w:rsidRDefault="006A523A" w:rsidP="006A523A">
            <w:pPr>
              <w:tabs>
                <w:tab w:val="left" w:pos="8820"/>
              </w:tabs>
              <w:ind w:left="601"/>
              <w:rPr>
                <w:rFonts w:cs="EUAlbertina"/>
                <w:sz w:val="18"/>
                <w:lang w:val="pl-PL"/>
              </w:rPr>
            </w:pPr>
            <w:r w:rsidRPr="009C56A7">
              <w:rPr>
                <w:rFonts w:cs="Arial"/>
                <w:sz w:val="18"/>
                <w:lang w:val="pl-PL"/>
              </w:rPr>
              <w:t>Należy ściśle przestrzegać etykiety-instrukcji stosowania środka ochrony roślin.</w:t>
            </w:r>
          </w:p>
        </w:tc>
      </w:tr>
    </w:tbl>
    <w:p w:rsidR="00D12377" w:rsidRPr="009C56A7" w:rsidRDefault="00D12377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0D6A28" w:rsidTr="00F3701C">
        <w:tc>
          <w:tcPr>
            <w:tcW w:w="10490" w:type="dxa"/>
            <w:shd w:val="clear" w:color="auto" w:fill="auto"/>
          </w:tcPr>
          <w:p w:rsidR="00F66EAD" w:rsidRPr="009C56A7" w:rsidRDefault="00F66EAD" w:rsidP="00793A70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8.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KONTROLA NARAŻENIA / ŚRODKI OCHRONY INDYWIDUALNEJ</w:t>
            </w:r>
          </w:p>
        </w:tc>
      </w:tr>
      <w:tr w:rsidR="009C56A7" w:rsidRPr="000D6A28" w:rsidTr="00F3701C">
        <w:tc>
          <w:tcPr>
            <w:tcW w:w="10490" w:type="dxa"/>
            <w:shd w:val="clear" w:color="auto" w:fill="auto"/>
          </w:tcPr>
          <w:p w:rsidR="00DA489A" w:rsidRPr="009C56A7" w:rsidRDefault="00F66EAD" w:rsidP="00E75F40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8.1.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Parametry dotyczące kontroli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Cs/>
                <w:sz w:val="18"/>
                <w:u w:val="single"/>
                <w:lang w:val="pl-PL"/>
              </w:rPr>
              <w:t>Najwyższe Dopuszczalne Stężenia (NDS) i Najwyższe Dopuszczalne Stężenia Chwilowe (NDSCh) składników mieszaniny: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6"/>
                <w:szCs w:val="16"/>
                <w:lang w:val="pl-PL"/>
              </w:rPr>
            </w:pPr>
            <w:r w:rsidRPr="009C56A7">
              <w:rPr>
                <w:rFonts w:cs="Arial"/>
                <w:bCs/>
                <w:sz w:val="16"/>
                <w:szCs w:val="16"/>
                <w:lang w:val="pl-PL"/>
              </w:rPr>
              <w:t>[Rozporządzenie Ministra Pracy i Polityki Społecznej z dnia 29 listopada 2002 r. w sprawie najwyższych dopuszczalnych stężeń i natężeń czynników szkodliwych dla zdrowia w środowisku pracy (Dz. U. 2002 Nr 217, poz. 1833), z późniejszymi zmianami]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lang w:val="pl-PL"/>
              </w:rPr>
            </w:pP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>nie określono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  <w:lang w:val="pl-PL"/>
              </w:rPr>
            </w:pP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Cs/>
                <w:sz w:val="18"/>
                <w:u w:val="single"/>
                <w:lang w:val="pl-PL"/>
              </w:rPr>
              <w:t>Najwyższe Dopuszczalne Stężenia składników mieszaniny określone przez producenta:</w:t>
            </w:r>
          </w:p>
          <w:p w:rsidR="00525EE4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ab/>
            </w:r>
            <w:r w:rsidR="00AF638A">
              <w:rPr>
                <w:rFonts w:cs="Arial"/>
                <w:bCs/>
                <w:sz w:val="18"/>
                <w:lang w:val="pl-PL"/>
              </w:rPr>
              <w:t>Nikosulfuron</w:t>
            </w:r>
            <w:r w:rsidR="00260551">
              <w:rPr>
                <w:rFonts w:cs="Arial"/>
                <w:bCs/>
                <w:sz w:val="18"/>
                <w:lang w:val="pl-PL"/>
              </w:rPr>
              <w:t xml:space="preserve"> </w:t>
            </w:r>
            <w:r w:rsidR="00AF638A">
              <w:rPr>
                <w:rFonts w:cs="Arial"/>
                <w:bCs/>
                <w:sz w:val="18"/>
                <w:lang w:val="pl-PL"/>
              </w:rPr>
              <w:t xml:space="preserve"> 8 h TWA: nie określono</w:t>
            </w:r>
            <w:r w:rsidR="00525EE4">
              <w:rPr>
                <w:rFonts w:cs="Arial"/>
                <w:bCs/>
                <w:sz w:val="18"/>
                <w:lang w:val="pl-PL"/>
              </w:rPr>
              <w:t xml:space="preserve">          </w:t>
            </w:r>
          </w:p>
          <w:p w:rsidR="006F2A6D" w:rsidRPr="009C56A7" w:rsidRDefault="006F2A6D" w:rsidP="001003A5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rPr>
                <w:rFonts w:cs="Arial"/>
                <w:bCs/>
                <w:sz w:val="18"/>
                <w:lang w:val="pl-PL"/>
              </w:rPr>
            </w:pPr>
            <w:r>
              <w:rPr>
                <w:rFonts w:cs="Arial"/>
                <w:bCs/>
                <w:sz w:val="18"/>
                <w:lang w:val="pl-PL"/>
              </w:rPr>
              <w:t xml:space="preserve">            </w:t>
            </w:r>
          </w:p>
          <w:p w:rsidR="00F66EAD" w:rsidRDefault="00DA489A" w:rsidP="001003A5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8.2.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Kontrola narażenia</w:t>
            </w:r>
          </w:p>
          <w:p w:rsidR="00E059D0" w:rsidRDefault="00E059D0" w:rsidP="00E059D0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rPr>
                <w:rFonts w:cs="Arial"/>
                <w:bCs/>
                <w:sz w:val="18"/>
                <w:lang w:val="pl-PL"/>
              </w:rPr>
            </w:pPr>
            <w:r>
              <w:rPr>
                <w:rFonts w:cs="Arial"/>
                <w:bCs/>
                <w:sz w:val="18"/>
                <w:lang w:val="pl-PL"/>
              </w:rPr>
              <w:t xml:space="preserve">            </w:t>
            </w:r>
            <w:r w:rsidRPr="00E059D0">
              <w:rPr>
                <w:rFonts w:cs="Arial"/>
                <w:bCs/>
                <w:sz w:val="18"/>
                <w:lang w:val="pl-PL"/>
              </w:rPr>
              <w:t>Wymagany poziom ochrony i rodzaje kontroli są zróżnicowane w zale</w:t>
            </w:r>
            <w:r w:rsidR="007F35C6">
              <w:rPr>
                <w:rFonts w:cs="Arial"/>
                <w:bCs/>
                <w:sz w:val="18"/>
                <w:lang w:val="pl-PL"/>
              </w:rPr>
              <w:t>żności od warunków potencjalnej</w:t>
            </w:r>
            <w:r w:rsidRPr="00E059D0">
              <w:rPr>
                <w:rFonts w:cs="Arial"/>
                <w:bCs/>
                <w:sz w:val="18"/>
                <w:lang w:val="pl-PL"/>
              </w:rPr>
              <w:t xml:space="preserve"> ekspozycji.</w:t>
            </w:r>
          </w:p>
          <w:p w:rsidR="00E059D0" w:rsidRPr="00E059D0" w:rsidRDefault="00E059D0" w:rsidP="00E059D0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rPr>
                <w:rFonts w:cs="Arial"/>
                <w:bCs/>
                <w:sz w:val="18"/>
                <w:lang w:val="pl-PL"/>
              </w:rPr>
            </w:pPr>
            <w:r>
              <w:rPr>
                <w:rFonts w:cs="Arial"/>
                <w:bCs/>
                <w:sz w:val="18"/>
                <w:lang w:val="pl-PL"/>
              </w:rPr>
              <w:t xml:space="preserve">            </w:t>
            </w:r>
            <w:r w:rsidRPr="00E059D0">
              <w:rPr>
                <w:rFonts w:cs="Arial"/>
                <w:bCs/>
                <w:sz w:val="18"/>
                <w:lang w:val="pl-PL"/>
              </w:rPr>
              <w:t>Należy wybrać metody kontroli w oparciu o ocenę ryzyka lokalnych warunków</w:t>
            </w:r>
            <w:r>
              <w:rPr>
                <w:rFonts w:cs="Arial"/>
                <w:bCs/>
                <w:sz w:val="18"/>
                <w:lang w:val="pl-PL"/>
              </w:rPr>
              <w:t>.</w:t>
            </w:r>
            <w:r w:rsidRPr="00E059D0">
              <w:rPr>
                <w:rFonts w:cs="Arial"/>
                <w:bCs/>
                <w:sz w:val="18"/>
                <w:lang w:val="pl-PL"/>
              </w:rPr>
              <w:t xml:space="preserve">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/>
                <w:bCs/>
                <w:i/>
                <w:iCs/>
                <w:sz w:val="18"/>
                <w:u w:val="single"/>
                <w:lang w:val="pl-PL"/>
              </w:rPr>
              <w:t xml:space="preserve">Ochrona oczu lub twarzy: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Stosować okulary ochronne lub maskę zabezpieczającą twarz (zgodne z normą EN 166).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/>
                <w:bCs/>
                <w:i/>
                <w:iCs/>
                <w:sz w:val="18"/>
                <w:u w:val="single"/>
                <w:lang w:val="pl-PL"/>
              </w:rPr>
              <w:t xml:space="preserve">Ochrona skóry: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i/>
                <w:iCs/>
                <w:sz w:val="18"/>
                <w:lang w:val="pl-PL"/>
              </w:rPr>
              <w:lastRenderedPageBreak/>
              <w:t xml:space="preserve">Ochrona rąk: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Przy wykorzystaniu preparatu w działalności zawodowej, zakładając częste, bądź długotrwałe narażenie należy stosować ochronę rąk dobraną stosownie do warunków pracy. </w:t>
            </w:r>
            <w:r w:rsidR="00E059D0" w:rsidRPr="00E059D0">
              <w:rPr>
                <w:rFonts w:cs="Arial"/>
                <w:bCs/>
                <w:sz w:val="18"/>
                <w:lang w:val="pl-PL"/>
              </w:rPr>
              <w:t>Odpowiednie rękawice ochronne odporne na działanie chemikaliów (EN 374) także przy dłuższym bezpośrednim kontakcie (zalecane: wskaźnik ochronny 6, odpowiadający &gt; 480 minut czasu przenikalności wg. EN 374): np. z kauczuku nitrylowego (0,4 mm), kauczuku chloroprenowego (0 ,5 mm), chlorku poliwinylowego (0,7 mm) i inne.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u w:val="single"/>
                <w:lang w:val="pl-PL"/>
              </w:rPr>
              <w:t xml:space="preserve">Materiał z jakiego wykonane są rękawice: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Wybór odpowiednich rękawic nie zależy jedynie od materiału, ale też od marki i jakości wynikających z różnic producentów. Odporność materiału, z którego wykonane są rękawice może być określona po przeprowadzeniu testów. Dokładny czas zniszczenia rękawic musi być ustalony przez producenta.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Cs/>
                <w:i/>
                <w:iCs/>
                <w:sz w:val="18"/>
                <w:u w:val="single"/>
                <w:lang w:val="pl-PL"/>
              </w:rPr>
              <w:t xml:space="preserve">Inne: </w:t>
            </w:r>
          </w:p>
          <w:p w:rsidR="00E059D0" w:rsidRDefault="00E059D0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lang w:val="pl-PL"/>
              </w:rPr>
            </w:pPr>
            <w:r w:rsidRPr="00E059D0">
              <w:rPr>
                <w:rFonts w:cs="Arial"/>
                <w:bCs/>
                <w:sz w:val="18"/>
                <w:lang w:val="pl-PL"/>
              </w:rPr>
              <w:t>Środki ochrony ciała dobierać w zależności od wykonywanych czynności i możliwego oddziaływania, np. fartuch, buty ochronne, odporne na działanie chemikaliów ubranie ochronne (zgodnie z EN 14605)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/>
                <w:bCs/>
                <w:i/>
                <w:iCs/>
                <w:sz w:val="18"/>
                <w:u w:val="single"/>
                <w:lang w:val="pl-PL"/>
              </w:rPr>
              <w:t xml:space="preserve">Ochrona dróg oddechowych: </w:t>
            </w:r>
          </w:p>
          <w:p w:rsidR="00E059D0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Unikać wdychania par produktu. </w:t>
            </w:r>
            <w:r w:rsidR="00E059D0" w:rsidRPr="00E059D0">
              <w:rPr>
                <w:rFonts w:cs="Arial"/>
                <w:bCs/>
                <w:sz w:val="18"/>
                <w:lang w:val="pl-PL"/>
              </w:rPr>
              <w:t>Ochrona dróg oddechowych przy niewystarczającej wentylacji: filtr przeciwcząstkowy ze średnim efektem filtracyjnym dla stałych i ciekłych cząstek np. EN 143 lub 149, Typ P2 l FFP2).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u w:val="single"/>
                <w:lang w:val="pl-PL"/>
              </w:rPr>
              <w:t xml:space="preserve">Zagrożenia termiczne: </w:t>
            </w:r>
          </w:p>
          <w:p w:rsidR="006E08B9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Nie dotyczy. </w:t>
            </w:r>
          </w:p>
          <w:p w:rsidR="006E08B9" w:rsidRPr="009C56A7" w:rsidRDefault="006E08B9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lang w:val="pl-PL"/>
              </w:rPr>
            </w:pPr>
          </w:p>
          <w:p w:rsidR="00901D22" w:rsidRPr="009C56A7" w:rsidRDefault="00901D22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>Kontrola narażenia środowiska</w:t>
            </w:r>
          </w:p>
          <w:p w:rsidR="00F66EAD" w:rsidRPr="009C56A7" w:rsidRDefault="006E08B9" w:rsidP="00B363EF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>Nie dopuszczać do rozprzestrzeniania się w środowisku i przedostania się do kanalizacji i cieków wodnych.</w:t>
            </w:r>
          </w:p>
        </w:tc>
      </w:tr>
    </w:tbl>
    <w:p w:rsidR="00F66EAD" w:rsidRPr="009C56A7" w:rsidRDefault="00F66EAD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712"/>
        <w:gridCol w:w="850"/>
      </w:tblGrid>
      <w:tr w:rsidR="009C56A7" w:rsidRPr="000D6A28" w:rsidTr="004D4F9C">
        <w:tc>
          <w:tcPr>
            <w:tcW w:w="10490" w:type="dxa"/>
            <w:gridSpan w:val="4"/>
          </w:tcPr>
          <w:p w:rsidR="00B363EF" w:rsidRPr="009C56A7" w:rsidRDefault="00B363EF" w:rsidP="00793A70">
            <w:pPr>
              <w:pStyle w:val="CWHead"/>
              <w:keepNext/>
              <w:keepLines/>
              <w:tabs>
                <w:tab w:val="left" w:pos="1168"/>
                <w:tab w:val="left" w:pos="6267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9.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WŁAŚCIWOŚCI FIZYCZNE I CHEMICZNE</w:t>
            </w:r>
          </w:p>
        </w:tc>
      </w:tr>
      <w:tr w:rsidR="009C56A7" w:rsidRPr="000D6A28" w:rsidTr="004D4F9C">
        <w:tc>
          <w:tcPr>
            <w:tcW w:w="10490" w:type="dxa"/>
            <w:gridSpan w:val="4"/>
          </w:tcPr>
          <w:p w:rsidR="00B363EF" w:rsidRPr="009C56A7" w:rsidRDefault="00B363EF" w:rsidP="00E75F40">
            <w:pPr>
              <w:pStyle w:val="Nagwek"/>
              <w:keepLines/>
              <w:tabs>
                <w:tab w:val="left" w:pos="601"/>
              </w:tabs>
              <w:spacing w:after="60"/>
              <w:rPr>
                <w:rFonts w:cs="Arial"/>
                <w:b/>
                <w:sz w:val="18"/>
                <w:lang w:val="pl-PL"/>
              </w:rPr>
            </w:pPr>
            <w:r w:rsidRPr="009C56A7">
              <w:rPr>
                <w:rFonts w:cs="Arial"/>
                <w:b/>
                <w:sz w:val="18"/>
                <w:lang w:val="pl-PL"/>
              </w:rPr>
              <w:t xml:space="preserve">9.1. </w:t>
            </w:r>
            <w:r w:rsidR="00793A70" w:rsidRPr="009C56A7">
              <w:rPr>
                <w:rFonts w:cs="Arial"/>
                <w:b/>
                <w:sz w:val="18"/>
                <w:lang w:val="pl-PL"/>
              </w:rPr>
              <w:tab/>
            </w:r>
            <w:r w:rsidRPr="009C56A7">
              <w:rPr>
                <w:rFonts w:cs="Arial"/>
                <w:b/>
                <w:sz w:val="18"/>
                <w:lang w:val="pl-PL"/>
              </w:rPr>
              <w:t>Informacje na temat podstawowych właściwości fizycznych i chemicznych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Wygląd: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4D4F9C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cs="Arial"/>
                <w:i/>
                <w:sz w:val="18"/>
                <w:lang w:val="pl-PL" w:eastAsia="en-US"/>
              </w:rPr>
              <w:t xml:space="preserve">Biała </w:t>
            </w:r>
            <w:r w:rsidR="00E63A08">
              <w:rPr>
                <w:rFonts w:cs="Arial"/>
                <w:i/>
                <w:sz w:val="18"/>
                <w:lang w:val="pl-PL" w:eastAsia="en-US"/>
              </w:rPr>
              <w:t>ciecz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Zapach: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AF638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 w:rsidRPr="00525EE4">
              <w:rPr>
                <w:rFonts w:cs="Arial"/>
                <w:i/>
                <w:sz w:val="18"/>
                <w:lang w:val="pl-PL" w:eastAsia="en-US"/>
              </w:rPr>
              <w:t>B</w:t>
            </w:r>
            <w:r>
              <w:rPr>
                <w:rFonts w:cs="Arial"/>
                <w:i/>
                <w:sz w:val="18"/>
                <w:lang w:val="pl-PL" w:eastAsia="en-US"/>
              </w:rPr>
              <w:t>ez zapachu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Próg zapachu: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Nie określono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pH 1% zawiesiny wodnej: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B3531E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cs="Arial"/>
                <w:i/>
                <w:sz w:val="18"/>
                <w:lang w:val="pl-PL" w:eastAsia="en-US"/>
              </w:rPr>
              <w:t>Nie określono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Temperatura topnienia/krzepnięcia: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cs="Arial"/>
                <w:i/>
                <w:sz w:val="18"/>
                <w:lang w:val="pl-PL" w:eastAsia="en-US"/>
              </w:rPr>
              <w:t>113-118 °C</w:t>
            </w:r>
          </w:p>
        </w:tc>
      </w:tr>
      <w:tr w:rsidR="009C56A7" w:rsidRPr="000D6A28" w:rsidTr="004D4F9C">
        <w:trPr>
          <w:gridBefore w:val="1"/>
          <w:gridAfter w:val="1"/>
          <w:wBefore w:w="959" w:type="dxa"/>
          <w:wAfter w:w="850" w:type="dxa"/>
          <w:cantSplit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Początkowa temperatura wrzenia i zakres temperatur wrzenia: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cs="Arial"/>
                <w:i/>
                <w:sz w:val="18"/>
                <w:lang w:val="pl-PL" w:eastAsia="en-US"/>
              </w:rPr>
              <w:t>&gt;300°C (podano dla substancji prometryna)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Temperatura zapłonu: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cs="Arial"/>
                <w:i/>
                <w:sz w:val="18"/>
                <w:lang w:val="pl-PL" w:eastAsia="en-US"/>
              </w:rPr>
              <w:t>Nie określono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Szybkość parowania: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Nie określono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Palność: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B3531E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 w:rsidRPr="00B3531E">
              <w:rPr>
                <w:rFonts w:cs="Arial"/>
                <w:i/>
                <w:sz w:val="18"/>
                <w:lang w:val="pl-PL" w:eastAsia="en-US"/>
              </w:rPr>
              <w:t>nie dotyczy</w:t>
            </w:r>
            <w:r w:rsidR="00AF638A">
              <w:rPr>
                <w:rFonts w:cs="Arial"/>
                <w:i/>
                <w:sz w:val="18"/>
                <w:lang w:val="pl-PL" w:eastAsia="en-US"/>
              </w:rPr>
              <w:t xml:space="preserve"> – ciecz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cantSplit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EUAlbertina"/>
                <w:sz w:val="18"/>
                <w:szCs w:val="17"/>
                <w:lang w:val="pl-PL"/>
              </w:rPr>
              <w:t>Górna/dolna granica palności lub górna/dolna granica wybuchowości: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Default="004D4F9C" w:rsidP="00E2031A">
            <w:pPr>
              <w:rPr>
                <w:lang w:val="pl-PL"/>
              </w:rPr>
            </w:pPr>
          </w:p>
          <w:p w:rsidR="00AF638A" w:rsidRPr="00AF638A" w:rsidRDefault="00AF638A" w:rsidP="00E2031A">
            <w:pPr>
              <w:rPr>
                <w:i/>
                <w:lang w:val="pl-PL"/>
              </w:rPr>
            </w:pPr>
            <w:r w:rsidRPr="00AF638A">
              <w:rPr>
                <w:i/>
                <w:lang w:val="pl-PL"/>
              </w:rPr>
              <w:t>Nie określono</w:t>
            </w:r>
          </w:p>
        </w:tc>
      </w:tr>
      <w:tr w:rsidR="009C56A7" w:rsidRPr="000D6A28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Prężność par: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rPr>
                <w:lang w:val="pl-PL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113 hPa w 25°C (podano dla subatncji prometyna)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Gęstość par: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AF638A" w:rsidRDefault="00AF638A" w:rsidP="00E2031A">
            <w:pPr>
              <w:rPr>
                <w:i/>
                <w:lang w:val="pl-PL"/>
              </w:rPr>
            </w:pPr>
            <w:r w:rsidRPr="00AF638A">
              <w:rPr>
                <w:i/>
                <w:lang w:val="pl-PL"/>
              </w:rPr>
              <w:t>Nie określono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Gęstość względna: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spacing w:before="20" w:after="20"/>
              <w:rPr>
                <w:sz w:val="18"/>
                <w:lang w:val="pl-PL"/>
              </w:rPr>
            </w:pPr>
            <w:r>
              <w:rPr>
                <w:rFonts w:cs="Arial"/>
                <w:sz w:val="18"/>
                <w:lang w:val="pl-PL" w:eastAsia="en-US"/>
              </w:rPr>
              <w:t>1.15 g/cm</w:t>
            </w:r>
            <w:r w:rsidRPr="00AF638A">
              <w:rPr>
                <w:rFonts w:cs="Arial"/>
                <w:sz w:val="18"/>
                <w:vertAlign w:val="superscript"/>
                <w:lang w:val="pl-PL" w:eastAsia="en-US"/>
              </w:rPr>
              <w:t>3</w:t>
            </w:r>
            <w:r>
              <w:rPr>
                <w:rFonts w:cs="Arial"/>
                <w:sz w:val="18"/>
                <w:lang w:val="pl-PL" w:eastAsia="en-US"/>
              </w:rPr>
              <w:t xml:space="preserve"> w 20°C</w:t>
            </w:r>
          </w:p>
        </w:tc>
      </w:tr>
      <w:tr w:rsidR="009C56A7" w:rsidRPr="000D6A28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Rozpuszczalność: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216702" w:rsidRPr="00216702" w:rsidRDefault="00216702" w:rsidP="0021670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lang w:val="pl-PL" w:eastAsia="en-US"/>
              </w:rPr>
            </w:pPr>
            <w:r w:rsidRPr="00216702">
              <w:rPr>
                <w:rFonts w:cs="Arial"/>
                <w:sz w:val="18"/>
                <w:lang w:val="pl-PL" w:eastAsia="en-US"/>
              </w:rPr>
              <w:t>Woda 20⁰C – 48 mg/l</w:t>
            </w:r>
          </w:p>
          <w:p w:rsidR="00216702" w:rsidRPr="00216702" w:rsidRDefault="00216702" w:rsidP="0021670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lang w:val="pl-PL" w:eastAsia="en-US"/>
              </w:rPr>
            </w:pPr>
            <w:r w:rsidRPr="00216702">
              <w:rPr>
                <w:rFonts w:cs="Arial"/>
                <w:sz w:val="18"/>
                <w:lang w:val="pl-PL" w:eastAsia="en-US"/>
              </w:rPr>
              <w:t>Aceton 20⁰C – 240000 mg/l (podano dla substancji prometryna)</w:t>
            </w:r>
          </w:p>
          <w:p w:rsidR="00216702" w:rsidRPr="00216702" w:rsidRDefault="00216702" w:rsidP="0021670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lang w:val="pl-PL" w:eastAsia="en-US"/>
              </w:rPr>
            </w:pPr>
            <w:r w:rsidRPr="00216702">
              <w:rPr>
                <w:rFonts w:cs="Arial"/>
                <w:sz w:val="18"/>
                <w:lang w:val="pl-PL" w:eastAsia="en-US"/>
              </w:rPr>
              <w:t>Heksan 20⁰C – 5500 mg/l (podano dla substancji prometryna)</w:t>
            </w:r>
          </w:p>
          <w:p w:rsidR="00216702" w:rsidRPr="00216702" w:rsidRDefault="00216702" w:rsidP="0021670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lang w:val="pl-PL" w:eastAsia="en-US"/>
              </w:rPr>
            </w:pPr>
            <w:r w:rsidRPr="00216702">
              <w:rPr>
                <w:rFonts w:cs="Arial"/>
                <w:sz w:val="18"/>
                <w:lang w:val="pl-PL" w:eastAsia="en-US"/>
              </w:rPr>
              <w:t>Metanol 20⁰C – 160000 mg/l (podano dla substancji prometryna)</w:t>
            </w:r>
          </w:p>
          <w:p w:rsidR="004D4F9C" w:rsidRPr="009C56A7" w:rsidRDefault="00216702" w:rsidP="0021670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lang w:val="pl-PL" w:eastAsia="en-US"/>
              </w:rPr>
            </w:pPr>
            <w:r w:rsidRPr="00216702">
              <w:rPr>
                <w:rFonts w:cs="Arial"/>
                <w:sz w:val="18"/>
                <w:lang w:val="pl-PL" w:eastAsia="en-US"/>
              </w:rPr>
              <w:t>Toluen 20⁰C – 170000 mg/l (podano dla substancji prometryna)</w:t>
            </w:r>
          </w:p>
        </w:tc>
      </w:tr>
      <w:tr w:rsidR="009C56A7" w:rsidRPr="00AF638A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Współczynnik podziału: n-oktanol/woda: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rPr>
                <w:lang w:val="pl-PL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Kow log P: 3.1 w 25 °C</w:t>
            </w:r>
            <w:r w:rsidR="004D4F9C" w:rsidRPr="009C56A7"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 xml:space="preserve"> </w:t>
            </w:r>
          </w:p>
        </w:tc>
      </w:tr>
      <w:tr w:rsidR="009C56A7" w:rsidRPr="00AF638A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tabs>
                <w:tab w:val="left" w:pos="2640"/>
              </w:tabs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Temperatura samozapłonu:</w:t>
            </w:r>
            <w:r w:rsidRPr="009C56A7">
              <w:rPr>
                <w:rFonts w:cs="Arial"/>
                <w:sz w:val="18"/>
                <w:lang w:val="pl-PL" w:eastAsia="en-US"/>
              </w:rPr>
              <w:tab/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rPr>
                <w:lang w:val="pl-PL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Nie określono</w:t>
            </w:r>
          </w:p>
        </w:tc>
      </w:tr>
      <w:tr w:rsidR="009C56A7" w:rsidRPr="00AF638A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Temperatura rozkładu: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AF638A" w:rsidRDefault="00AF638A" w:rsidP="00E2031A">
            <w:pPr>
              <w:rPr>
                <w:lang w:val="pl-PL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Nie określono</w:t>
            </w:r>
          </w:p>
        </w:tc>
      </w:tr>
      <w:tr w:rsidR="009C56A7" w:rsidRPr="00AF638A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Lepkość: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Nie określono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Właściwości wybuchowe: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Nie określono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>Właściwości utleniające: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AF638A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  <w:lang w:val="pl-PL" w:eastAsia="en-US"/>
              </w:rPr>
            </w:pPr>
            <w:r>
              <w:rPr>
                <w:rFonts w:eastAsiaTheme="minorHAnsi" w:cs="Arial"/>
                <w:i/>
                <w:snapToGrid/>
                <w:sz w:val="18"/>
                <w:szCs w:val="22"/>
                <w:lang w:val="pl-PL" w:eastAsia="en-US"/>
              </w:rPr>
              <w:t>Nie określono</w:t>
            </w:r>
          </w:p>
        </w:tc>
      </w:tr>
      <w:tr w:rsidR="009C56A7" w:rsidRPr="009C56A7" w:rsidTr="004D4F9C">
        <w:trPr>
          <w:trHeight w:val="123"/>
        </w:trPr>
        <w:tc>
          <w:tcPr>
            <w:tcW w:w="10490" w:type="dxa"/>
            <w:gridSpan w:val="4"/>
          </w:tcPr>
          <w:p w:rsidR="002A603E" w:rsidRPr="009C56A7" w:rsidRDefault="002A603E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lang w:val="pl-PL" w:eastAsia="en-US"/>
              </w:rPr>
            </w:pPr>
            <w:r w:rsidRPr="009C56A7">
              <w:rPr>
                <w:rFonts w:cs="Arial"/>
                <w:b/>
                <w:sz w:val="18"/>
                <w:lang w:val="pl-PL" w:eastAsia="en-US"/>
              </w:rPr>
              <w:t xml:space="preserve">9.2. </w:t>
            </w:r>
            <w:r w:rsidRPr="009C56A7">
              <w:rPr>
                <w:rFonts w:cs="Arial"/>
                <w:b/>
                <w:sz w:val="18"/>
                <w:lang w:val="pl-PL" w:eastAsia="en-US"/>
              </w:rPr>
              <w:tab/>
              <w:t>Inne informacje</w:t>
            </w:r>
          </w:p>
          <w:p w:rsidR="002A603E" w:rsidRPr="009C56A7" w:rsidRDefault="002A603E" w:rsidP="00B3531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lastRenderedPageBreak/>
              <w:tab/>
            </w:r>
            <w:r w:rsidR="00B3531E">
              <w:rPr>
                <w:rFonts w:cs="Arial"/>
                <w:sz w:val="18"/>
                <w:lang w:val="pl-PL" w:eastAsia="en-US"/>
              </w:rPr>
              <w:t>-</w:t>
            </w:r>
          </w:p>
        </w:tc>
      </w:tr>
    </w:tbl>
    <w:p w:rsidR="004E187A" w:rsidRPr="009C56A7" w:rsidRDefault="004E187A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9C56A7" w:rsidTr="0057020B">
        <w:tc>
          <w:tcPr>
            <w:tcW w:w="10490" w:type="dxa"/>
          </w:tcPr>
          <w:p w:rsidR="002A603E" w:rsidRPr="009C56A7" w:rsidRDefault="002A603E" w:rsidP="002A603E">
            <w:pPr>
              <w:pStyle w:val="CWHead"/>
              <w:keepNext/>
              <w:keepLines/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10.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STABILNOŚĆ I REAKTYWNOŚĆ</w:t>
            </w:r>
          </w:p>
        </w:tc>
      </w:tr>
      <w:tr w:rsidR="009C56A7" w:rsidRPr="000D6A28" w:rsidTr="0057020B">
        <w:trPr>
          <w:trHeight w:val="267"/>
        </w:trPr>
        <w:tc>
          <w:tcPr>
            <w:tcW w:w="10490" w:type="dxa"/>
          </w:tcPr>
          <w:p w:rsidR="00613DAD" w:rsidRPr="009C56A7" w:rsidRDefault="002A603E" w:rsidP="00E75F40">
            <w:pPr>
              <w:tabs>
                <w:tab w:val="left" w:pos="606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10.1. </w:t>
            </w:r>
            <w:r w:rsidR="00613DAD"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>Reaktywność</w:t>
            </w:r>
          </w:p>
          <w:p w:rsidR="00613DAD" w:rsidRPr="009C56A7" w:rsidRDefault="00D90634" w:rsidP="00A70F8C">
            <w:pPr>
              <w:tabs>
                <w:tab w:val="left" w:pos="606"/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  <w:lang w:val="pl-PL"/>
              </w:rPr>
            </w:pPr>
            <w:r w:rsidRPr="00D90634">
              <w:rPr>
                <w:rFonts w:cs="Arial"/>
                <w:bCs/>
                <w:sz w:val="18"/>
                <w:lang w:val="pl-PL"/>
              </w:rPr>
              <w:t>W warunkach składowania i obchodzenia się zgodnie z przeznaczeniem – brak reaktywności.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10.2. </w:t>
            </w:r>
            <w:r w:rsidR="00613DAD"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>Stabilność chemiczna</w:t>
            </w:r>
          </w:p>
          <w:p w:rsidR="00613DAD" w:rsidRPr="009C56A7" w:rsidRDefault="00613DAD" w:rsidP="00A70F8C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>Stabilny w normalnych warunkach stosowania</w:t>
            </w:r>
            <w:r w:rsidR="006E08B9" w:rsidRPr="009C56A7">
              <w:rPr>
                <w:rFonts w:cs="Arial"/>
                <w:bCs/>
                <w:sz w:val="18"/>
                <w:lang w:val="pl-PL"/>
              </w:rPr>
              <w:t>, transportu</w:t>
            </w:r>
            <w:r w:rsidRPr="009C56A7">
              <w:rPr>
                <w:rFonts w:cs="Arial"/>
                <w:bCs/>
                <w:sz w:val="18"/>
                <w:lang w:val="pl-PL"/>
              </w:rPr>
              <w:t xml:space="preserve"> i </w:t>
            </w:r>
            <w:r w:rsidR="006E08B9" w:rsidRPr="009C56A7">
              <w:rPr>
                <w:rFonts w:cs="Arial"/>
                <w:bCs/>
                <w:sz w:val="18"/>
                <w:lang w:val="pl-PL"/>
              </w:rPr>
              <w:t>magazynowania.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10.3. </w:t>
            </w:r>
            <w:r w:rsidR="00613DAD"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>Możliwość występowania niebezpiecznych reakcji</w:t>
            </w:r>
          </w:p>
          <w:p w:rsidR="00C50EDB" w:rsidRDefault="00C50EDB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18"/>
                <w:lang w:val="pl-PL"/>
              </w:rPr>
            </w:pPr>
            <w:r>
              <w:rPr>
                <w:rFonts w:cs="Arial"/>
                <w:bCs/>
                <w:sz w:val="18"/>
                <w:lang w:val="pl-PL"/>
              </w:rPr>
              <w:t xml:space="preserve">            </w:t>
            </w:r>
            <w:r w:rsidRPr="00C50EDB">
              <w:rPr>
                <w:rFonts w:cs="Arial"/>
                <w:bCs/>
                <w:sz w:val="18"/>
                <w:lang w:val="pl-PL"/>
              </w:rPr>
              <w:t>Nie określono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10.4. </w:t>
            </w:r>
            <w:r w:rsidR="00613DAD"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>Warunki, których należy unikać</w:t>
            </w:r>
          </w:p>
          <w:p w:rsidR="00D90634" w:rsidRDefault="00FD1BD9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            </w:t>
            </w:r>
            <w:r w:rsidR="00D90634" w:rsidRPr="00D90634">
              <w:rPr>
                <w:rFonts w:cs="Arial"/>
                <w:bCs/>
                <w:sz w:val="18"/>
                <w:lang w:val="pl-PL"/>
              </w:rPr>
              <w:t>Temperatury poza zakresem przewidzianym do magazynowania, bezpośrednie działanie światła słonecznego.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10.5. </w:t>
            </w:r>
            <w:r w:rsidR="00A70F8C"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>Materiały niezgodne</w:t>
            </w:r>
          </w:p>
          <w:p w:rsidR="00613DAD" w:rsidRPr="009C56A7" w:rsidRDefault="00D32678" w:rsidP="00A70F8C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  <w:lang w:val="pl-PL"/>
              </w:rPr>
            </w:pPr>
            <w:r w:rsidRPr="00D32678">
              <w:rPr>
                <w:rFonts w:cs="Arial"/>
                <w:bCs/>
                <w:sz w:val="18"/>
                <w:lang w:val="pl-PL"/>
              </w:rPr>
              <w:t>Należy używać zgodnie z etykietą-instrukcją stosowania. Stosowanie w mieszankach z produktów innych niż zalecane jest zabronione.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10.6. </w:t>
            </w:r>
            <w:r w:rsidR="00A70F8C"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>Niebezpieczne produkty rozkładu</w:t>
            </w:r>
          </w:p>
          <w:p w:rsidR="00793A70" w:rsidRPr="009C56A7" w:rsidRDefault="00FD1BD9" w:rsidP="00A70F8C">
            <w:pPr>
              <w:tabs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>Toksyczne gazy w przypadku termicznego rozkładu - tlenki węgla</w:t>
            </w:r>
            <w:r w:rsidR="006F58CA" w:rsidRPr="009C56A7">
              <w:rPr>
                <w:rFonts w:cs="Arial"/>
                <w:bCs/>
                <w:sz w:val="18"/>
                <w:lang w:val="pl-PL"/>
              </w:rPr>
              <w:t>, tlenki azotu, związki chloru.</w:t>
            </w:r>
          </w:p>
        </w:tc>
      </w:tr>
    </w:tbl>
    <w:p w:rsidR="00793A70" w:rsidRPr="009C56A7" w:rsidRDefault="00793A70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245"/>
        <w:gridCol w:w="283"/>
      </w:tblGrid>
      <w:tr w:rsidR="009C56A7" w:rsidRPr="009C56A7" w:rsidTr="004502CD">
        <w:tc>
          <w:tcPr>
            <w:tcW w:w="10490" w:type="dxa"/>
            <w:gridSpan w:val="4"/>
          </w:tcPr>
          <w:p w:rsidR="00A70F8C" w:rsidRPr="009C56A7" w:rsidRDefault="00A70F8C" w:rsidP="00A70F8C">
            <w:pPr>
              <w:pStyle w:val="CWHead"/>
              <w:keepNext/>
              <w:keepLines/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11.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INFORMACJE TOKSYKOLOGICZNE</w:t>
            </w:r>
          </w:p>
        </w:tc>
      </w:tr>
      <w:tr w:rsidR="009C56A7" w:rsidRPr="000D6A28" w:rsidTr="004502CD">
        <w:trPr>
          <w:cantSplit/>
        </w:trPr>
        <w:tc>
          <w:tcPr>
            <w:tcW w:w="10490" w:type="dxa"/>
            <w:gridSpan w:val="4"/>
          </w:tcPr>
          <w:p w:rsidR="00A70F8C" w:rsidRPr="009C56A7" w:rsidRDefault="00A70F8C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  <w:lang w:val="pl-PL" w:eastAsia="en-US"/>
              </w:rPr>
            </w:pPr>
            <w:r w:rsidRPr="009C56A7">
              <w:rPr>
                <w:rFonts w:cs="Arial"/>
                <w:b/>
                <w:sz w:val="18"/>
                <w:lang w:val="pl-PL" w:eastAsia="en-US"/>
              </w:rPr>
              <w:t xml:space="preserve">11.1. </w:t>
            </w:r>
            <w:r w:rsidRPr="009C56A7">
              <w:rPr>
                <w:rFonts w:cs="Arial"/>
                <w:b/>
                <w:sz w:val="18"/>
                <w:lang w:val="pl-PL" w:eastAsia="en-US"/>
              </w:rPr>
              <w:tab/>
              <w:t>Informacje dotyczące skutków toksykologicznych</w:t>
            </w:r>
          </w:p>
          <w:p w:rsidR="001C4ADA" w:rsidRPr="009C56A7" w:rsidRDefault="001C4ADA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u w:val="single"/>
                <w:lang w:val="pl-PL" w:eastAsia="en-US"/>
              </w:rPr>
            </w:pPr>
            <w:r w:rsidRPr="009C56A7">
              <w:rPr>
                <w:rFonts w:cs="Arial"/>
                <w:b/>
                <w:sz w:val="18"/>
                <w:lang w:val="pl-PL" w:eastAsia="en-US"/>
              </w:rPr>
              <w:tab/>
            </w:r>
            <w:r w:rsidRPr="009C56A7">
              <w:rPr>
                <w:rFonts w:cs="Arial"/>
                <w:sz w:val="18"/>
                <w:u w:val="single"/>
                <w:lang w:val="pl-PL" w:eastAsia="en-US"/>
              </w:rPr>
              <w:t>Dane dotyczące mieszaniny</w:t>
            </w:r>
            <w:r w:rsidRPr="009C56A7">
              <w:rPr>
                <w:rFonts w:cs="Arial"/>
                <w:sz w:val="18"/>
                <w:lang w:val="pl-PL" w:eastAsia="en-US"/>
              </w:rPr>
              <w:t>:</w:t>
            </w:r>
          </w:p>
        </w:tc>
      </w:tr>
      <w:tr w:rsidR="009C56A7" w:rsidRPr="000D6A28" w:rsidTr="006F2A6D">
        <w:trPr>
          <w:gridBefore w:val="1"/>
          <w:wBefore w:w="568" w:type="dxa"/>
          <w:trHeight w:val="752"/>
        </w:trPr>
        <w:tc>
          <w:tcPr>
            <w:tcW w:w="9639" w:type="dxa"/>
            <w:gridSpan w:val="2"/>
          </w:tcPr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 </w:t>
            </w:r>
            <w:r w:rsidR="00083E34" w:rsidRPr="009C56A7">
              <w:rPr>
                <w:rFonts w:cs="Arial"/>
                <w:sz w:val="18"/>
                <w:lang w:val="pl-PL" w:eastAsia="en-US"/>
              </w:rPr>
              <w:t xml:space="preserve"> Toksyczność ostra: </w:t>
            </w: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        </w:t>
            </w:r>
            <w:r w:rsidR="00083E34" w:rsidRPr="009C56A7">
              <w:rPr>
                <w:rFonts w:cs="Arial"/>
                <w:sz w:val="18"/>
                <w:lang w:val="pl-PL" w:eastAsia="en-US"/>
              </w:rPr>
              <w:t xml:space="preserve"> - doustna (szczur):                </w:t>
            </w:r>
            <w:r w:rsidR="00534505" w:rsidRPr="00534505">
              <w:rPr>
                <w:rFonts w:cs="Arial"/>
                <w:sz w:val="18"/>
                <w:lang w:val="pl-PL" w:eastAsia="en-US"/>
              </w:rPr>
              <w:t>LD50  &gt; 2000 mg</w:t>
            </w: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        </w:t>
            </w:r>
            <w:r w:rsidR="00083E34" w:rsidRPr="009C56A7">
              <w:rPr>
                <w:rFonts w:cs="Arial"/>
                <w:sz w:val="18"/>
                <w:lang w:val="pl-PL" w:eastAsia="en-US"/>
              </w:rPr>
              <w:t xml:space="preserve"> - skórna (szczur):                  </w:t>
            </w:r>
            <w:r w:rsidR="00534505" w:rsidRPr="00534505">
              <w:rPr>
                <w:rFonts w:cs="Arial"/>
                <w:sz w:val="18"/>
                <w:lang w:val="pl-PL" w:eastAsia="en-US"/>
              </w:rPr>
              <w:t>LD50  &gt; 2000 mg</w:t>
            </w:r>
          </w:p>
          <w:p w:rsidR="00083E34" w:rsidRPr="009C56A7" w:rsidRDefault="00083E3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 </w:t>
            </w:r>
            <w:r w:rsidR="00083E34" w:rsidRPr="009C56A7">
              <w:rPr>
                <w:rFonts w:cs="Arial"/>
                <w:sz w:val="18"/>
                <w:lang w:val="pl-PL" w:eastAsia="en-US"/>
              </w:rPr>
              <w:t xml:space="preserve"> Działanie drażniące: </w:t>
            </w:r>
          </w:p>
          <w:p w:rsidR="00534505" w:rsidRDefault="00083E3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- na oczy (królik):                 </w:t>
            </w:r>
            <w:r w:rsidR="00534505">
              <w:rPr>
                <w:rFonts w:cs="Arial"/>
                <w:sz w:val="18"/>
                <w:lang w:val="pl-PL" w:eastAsia="en-US"/>
              </w:rPr>
              <w:t>Nie drażni oczu (królik)</w:t>
            </w:r>
          </w:p>
          <w:p w:rsidR="00083E34" w:rsidRPr="009C56A7" w:rsidRDefault="00083E3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- na skórę (królik):                </w:t>
            </w:r>
            <w:r w:rsidR="00534505">
              <w:rPr>
                <w:rFonts w:cs="Arial"/>
                <w:sz w:val="18"/>
                <w:lang w:val="pl-PL" w:eastAsia="en-US"/>
              </w:rPr>
              <w:t>Nie drażni skóry (badania na króliku i szczurze)</w:t>
            </w:r>
          </w:p>
          <w:p w:rsidR="00083E34" w:rsidRPr="009C56A7" w:rsidRDefault="00083E3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  </w:t>
            </w:r>
            <w:r w:rsidR="00083E34" w:rsidRPr="009C56A7">
              <w:rPr>
                <w:rFonts w:cs="Arial"/>
                <w:sz w:val="18"/>
                <w:lang w:val="pl-PL" w:eastAsia="en-US"/>
              </w:rPr>
              <w:t xml:space="preserve">Działanie uczulające: </w:t>
            </w:r>
          </w:p>
          <w:p w:rsidR="00FD1BD9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      </w:t>
            </w:r>
            <w:r w:rsidR="00083E34" w:rsidRPr="009C56A7">
              <w:rPr>
                <w:rFonts w:cs="Arial"/>
                <w:sz w:val="18"/>
                <w:lang w:val="pl-PL" w:eastAsia="en-US"/>
              </w:rPr>
              <w:t xml:space="preserve"> - na skórę (świnka morska): </w:t>
            </w:r>
            <w:r w:rsidR="004502CD" w:rsidRPr="009C56A7">
              <w:rPr>
                <w:rFonts w:cs="Arial"/>
                <w:sz w:val="18"/>
                <w:lang w:val="pl-PL" w:eastAsia="en-US"/>
              </w:rPr>
              <w:t xml:space="preserve"> </w:t>
            </w:r>
            <w:r w:rsidR="00534505">
              <w:rPr>
                <w:rFonts w:cs="Arial"/>
                <w:sz w:val="18"/>
                <w:lang w:val="pl-PL" w:eastAsia="en-US"/>
              </w:rPr>
              <w:t>uczula skórę (świnka morska) – Skin Sens. 1B</w:t>
            </w:r>
          </w:p>
          <w:p w:rsidR="007132C4" w:rsidRDefault="007132C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</w:p>
          <w:p w:rsidR="007132C4" w:rsidRPr="00C819F2" w:rsidRDefault="007132C4" w:rsidP="007132C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 xml:space="preserve">  Rakotwórczość: 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>produkt nie zawiera składników o zidentyfikowanym działaniu rakotwórczym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 xml:space="preserve">  Mutagenność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>: produkt nie zawiera składników o zidentyfikowanym działaniu mutagennym</w:t>
            </w:r>
          </w:p>
          <w:p w:rsidR="006F2A6D" w:rsidRPr="002C6AC3" w:rsidRDefault="007132C4" w:rsidP="006F2A6D">
            <w:pPr>
              <w:rPr>
                <w:rFonts w:cs="Arial"/>
                <w:sz w:val="18"/>
                <w:lang w:val="pl-PL" w:eastAsia="en-US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 xml:space="preserve">  Szkodliwe działanie na rozrodczość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 xml:space="preserve">: </w:t>
            </w:r>
            <w:r w:rsidR="004F7512" w:rsidRPr="004F7512">
              <w:rPr>
                <w:rFonts w:cs="Arial"/>
                <w:sz w:val="18"/>
                <w:lang w:val="pl-PL" w:eastAsia="en-US"/>
              </w:rPr>
              <w:t xml:space="preserve">produkt nie zawiera składników o </w:t>
            </w:r>
            <w:r w:rsidR="006F2A6D" w:rsidRPr="002C6AC3">
              <w:rPr>
                <w:rFonts w:cs="Arial"/>
                <w:sz w:val="18"/>
                <w:lang w:val="pl-PL" w:eastAsia="en-US"/>
              </w:rPr>
              <w:t>składników o zidentyfikowanym szkodliwym działaniu na rozrodczość</w:t>
            </w:r>
            <w:r w:rsidR="006F2A6D">
              <w:rPr>
                <w:rFonts w:cs="Arial"/>
                <w:sz w:val="18"/>
                <w:lang w:val="pl-PL" w:eastAsia="en-US"/>
              </w:rPr>
              <w:t xml:space="preserve"> </w:t>
            </w:r>
          </w:p>
          <w:p w:rsidR="007132C4" w:rsidRPr="00C819F2" w:rsidRDefault="006F2A6D" w:rsidP="007132C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  </w:t>
            </w:r>
            <w:r w:rsidR="007132C4" w:rsidRPr="00C819F2">
              <w:rPr>
                <w:rFonts w:cs="Arial"/>
                <w:b/>
                <w:bCs/>
                <w:sz w:val="18"/>
                <w:szCs w:val="18"/>
                <w:lang w:val="pl-PL"/>
              </w:rPr>
              <w:t>Działanie toksyczne na narządy docelowe - narażenie jednorazowe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sz w:val="18"/>
                <w:szCs w:val="18"/>
                <w:lang w:val="pl-PL"/>
              </w:rPr>
              <w:t xml:space="preserve">  Mało prawdopodobne, aby produkt w normalnych warunkach stosowania i obchodzenia się z nim, powodował szkodliwe skutki.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  Działanie toksyczne na narządy docelowe - powtarzane narażenie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b/>
                <w:sz w:val="18"/>
                <w:szCs w:val="18"/>
                <w:u w:val="single"/>
                <w:lang w:val="pl-PL"/>
              </w:rPr>
            </w:pPr>
            <w:r w:rsidRPr="00C819F2">
              <w:rPr>
                <w:rFonts w:cs="Arial"/>
                <w:sz w:val="18"/>
                <w:szCs w:val="18"/>
                <w:lang w:val="pl-PL"/>
              </w:rPr>
              <w:t xml:space="preserve">  Mało prawdopodobne, aby produkt w normalnych warunkach stosowania i obchodzenia się z nim, powodował szkodliwe skutki.</w:t>
            </w:r>
            <w:r w:rsidRPr="00C819F2">
              <w:rPr>
                <w:rFonts w:cs="Arial"/>
                <w:b/>
                <w:sz w:val="18"/>
                <w:szCs w:val="18"/>
                <w:u w:val="single"/>
                <w:lang w:val="pl-PL"/>
              </w:rPr>
              <w:t xml:space="preserve"> 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b/>
                <w:sz w:val="18"/>
                <w:szCs w:val="18"/>
                <w:u w:val="single"/>
                <w:lang w:val="pl-PL"/>
              </w:rPr>
            </w:pP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b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>Informacje dotyczące prawdopodobnych dróg narażenia - UWAGA! Produkt nie w pełni zbadany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>Zanieczyszczenie skóry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 xml:space="preserve">: 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ab/>
              <w:t>może spowodować podrażnienie, reakcję uczuleniową skóry.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>Absorpcja przez skórę: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ab/>
              <w:t xml:space="preserve">              może działać szkodliwie w przypadku absorpcji przez skórę.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>Zanieczyszczenie oczu: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ab/>
              <w:t xml:space="preserve">              może powodować podrażnienie oczu.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>Narażenie drogą oddechową: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ab/>
              <w:t>może działać drażniąco na błony śluzowe i górne drogi oddechowe.</w:t>
            </w:r>
          </w:p>
          <w:p w:rsidR="007132C4" w:rsidRPr="00C819F2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  <w:lang w:val="pl-PL"/>
              </w:rPr>
            </w:pPr>
            <w:r w:rsidRPr="00C819F2">
              <w:rPr>
                <w:rFonts w:cs="Arial"/>
                <w:b/>
                <w:sz w:val="18"/>
                <w:szCs w:val="18"/>
                <w:lang w:val="pl-PL"/>
              </w:rPr>
              <w:t>Spożycie: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Pr="00C819F2">
              <w:rPr>
                <w:rFonts w:cs="Arial"/>
                <w:sz w:val="18"/>
                <w:szCs w:val="18"/>
                <w:lang w:val="pl-PL"/>
              </w:rPr>
              <w:tab/>
            </w:r>
            <w:r w:rsidRPr="00C819F2">
              <w:rPr>
                <w:rFonts w:cs="Arial"/>
                <w:sz w:val="18"/>
                <w:szCs w:val="18"/>
                <w:lang w:val="pl-PL"/>
              </w:rPr>
              <w:tab/>
            </w:r>
            <w:r w:rsidRPr="00C819F2">
              <w:rPr>
                <w:rFonts w:cs="Arial"/>
                <w:sz w:val="18"/>
                <w:szCs w:val="18"/>
                <w:lang w:val="pl-PL"/>
              </w:rPr>
              <w:tab/>
            </w:r>
            <w:r w:rsidRPr="00C819F2">
              <w:rPr>
                <w:rFonts w:cs="Arial"/>
                <w:sz w:val="18"/>
                <w:szCs w:val="18"/>
                <w:u w:val="single"/>
                <w:lang w:val="pl-PL"/>
              </w:rPr>
              <w:t>może działać szkodliwie w przypadku spożycia.</w:t>
            </w:r>
          </w:p>
          <w:p w:rsidR="007132C4" w:rsidRPr="009C56A7" w:rsidRDefault="007132C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165CD8" w:rsidRPr="009C56A7" w:rsidRDefault="00165CD8" w:rsidP="0057020B">
            <w:pPr>
              <w:autoSpaceDE w:val="0"/>
              <w:autoSpaceDN w:val="0"/>
              <w:adjustRightInd w:val="0"/>
              <w:rPr>
                <w:rFonts w:cs="Arial"/>
                <w:sz w:val="18"/>
                <w:lang w:val="pl-PL" w:eastAsia="en-US"/>
              </w:rPr>
            </w:pPr>
          </w:p>
          <w:p w:rsidR="00165CD8" w:rsidRPr="009C56A7" w:rsidRDefault="00165CD8" w:rsidP="0057020B">
            <w:pPr>
              <w:autoSpaceDE w:val="0"/>
              <w:autoSpaceDN w:val="0"/>
              <w:adjustRightInd w:val="0"/>
              <w:rPr>
                <w:sz w:val="18"/>
                <w:szCs w:val="22"/>
                <w:lang w:val="pl-PL"/>
              </w:rPr>
            </w:pPr>
          </w:p>
          <w:p w:rsidR="00277E99" w:rsidRPr="009C56A7" w:rsidRDefault="00277E99" w:rsidP="009613E1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lang w:val="pl-PL" w:eastAsia="en-US"/>
              </w:rPr>
            </w:pPr>
          </w:p>
          <w:p w:rsidR="009613E1" w:rsidRPr="009C56A7" w:rsidRDefault="009613E1" w:rsidP="009613E1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lang w:val="pl-PL" w:eastAsia="en-US"/>
              </w:rPr>
            </w:pPr>
          </w:p>
          <w:p w:rsidR="00FD1BD9" w:rsidRPr="009C56A7" w:rsidRDefault="00FD1BD9" w:rsidP="0057020B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napToGrid/>
                <w:sz w:val="18"/>
                <w:szCs w:val="21"/>
                <w:lang w:val="pl-PL" w:eastAsia="en-US"/>
              </w:rPr>
            </w:pPr>
          </w:p>
          <w:p w:rsidR="00FD1BD9" w:rsidRPr="009C56A7" w:rsidRDefault="00FD1BD9" w:rsidP="00FD1BD9">
            <w:pPr>
              <w:rPr>
                <w:rFonts w:eastAsiaTheme="minorHAnsi" w:cs="Arial"/>
                <w:sz w:val="18"/>
                <w:szCs w:val="21"/>
                <w:lang w:val="pl-PL" w:eastAsia="en-US"/>
              </w:rPr>
            </w:pPr>
          </w:p>
          <w:p w:rsidR="004863DE" w:rsidRPr="009C56A7" w:rsidRDefault="00FD1BD9" w:rsidP="00FD1BD9">
            <w:pPr>
              <w:tabs>
                <w:tab w:val="left" w:pos="1372"/>
              </w:tabs>
              <w:rPr>
                <w:rFonts w:eastAsiaTheme="minorHAnsi" w:cs="Arial"/>
                <w:sz w:val="18"/>
                <w:szCs w:val="21"/>
                <w:lang w:val="pl-PL" w:eastAsia="en-US"/>
              </w:rPr>
            </w:pPr>
            <w:r w:rsidRPr="009C56A7">
              <w:rPr>
                <w:rFonts w:eastAsiaTheme="minorHAnsi" w:cs="Arial"/>
                <w:sz w:val="18"/>
                <w:szCs w:val="21"/>
                <w:lang w:val="pl-PL" w:eastAsia="en-US"/>
              </w:rPr>
              <w:tab/>
            </w:r>
          </w:p>
        </w:tc>
      </w:tr>
      <w:tr w:rsidR="009C56A7" w:rsidRPr="009C56A7" w:rsidTr="00070502">
        <w:tc>
          <w:tcPr>
            <w:tcW w:w="10490" w:type="dxa"/>
            <w:gridSpan w:val="4"/>
          </w:tcPr>
          <w:p w:rsidR="005E2BEF" w:rsidRPr="009C56A7" w:rsidRDefault="005E2BEF" w:rsidP="005E2BEF">
            <w:pPr>
              <w:pStyle w:val="CWHead"/>
              <w:keepNext/>
              <w:keepLines/>
              <w:tabs>
                <w:tab w:val="left" w:pos="129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12.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INFORMACJE EKOLOGICZNE</w:t>
            </w:r>
          </w:p>
        </w:tc>
      </w:tr>
      <w:tr w:rsidR="009C56A7" w:rsidRPr="009C56A7" w:rsidTr="00070502">
        <w:tc>
          <w:tcPr>
            <w:tcW w:w="10490" w:type="dxa"/>
            <w:gridSpan w:val="4"/>
          </w:tcPr>
          <w:p w:rsidR="004863DE" w:rsidRPr="009C56A7" w:rsidRDefault="005E2BEF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12.1. </w:t>
            </w:r>
            <w:r w:rsidR="00EC66D0" w:rsidRPr="009C56A7">
              <w:rPr>
                <w:rFonts w:cs="Arial"/>
                <w:b/>
                <w:bCs/>
                <w:sz w:val="18"/>
                <w:lang w:val="pl-PL"/>
              </w:rPr>
              <w:tab/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>Toksyczność</w:t>
            </w:r>
          </w:p>
          <w:p w:rsidR="001C4ADA" w:rsidRPr="009C56A7" w:rsidRDefault="001C4ADA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lastRenderedPageBreak/>
              <w:tab/>
            </w:r>
            <w:r w:rsidRPr="009C56A7">
              <w:rPr>
                <w:rFonts w:cs="Arial"/>
                <w:bCs/>
                <w:sz w:val="18"/>
                <w:u w:val="single"/>
                <w:lang w:val="pl-PL"/>
              </w:rPr>
              <w:t>Dane dotyczące mieszaniny</w:t>
            </w:r>
            <w:r w:rsidRPr="009C56A7">
              <w:rPr>
                <w:rFonts w:cs="Arial"/>
                <w:bCs/>
                <w:sz w:val="18"/>
                <w:lang w:val="pl-PL"/>
              </w:rPr>
              <w:t>:</w:t>
            </w:r>
          </w:p>
        </w:tc>
      </w:tr>
      <w:tr w:rsidR="009C56A7" w:rsidRPr="000D6A28" w:rsidTr="00947DA5">
        <w:trPr>
          <w:gridBefore w:val="1"/>
          <w:wBefore w:w="568" w:type="dxa"/>
        </w:trPr>
        <w:tc>
          <w:tcPr>
            <w:tcW w:w="4394" w:type="dxa"/>
          </w:tcPr>
          <w:p w:rsidR="00774599" w:rsidRPr="009C56A7" w:rsidRDefault="00774599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lastRenderedPageBreak/>
              <w:t>- ryby słodkowodne (Rainbow trout):</w:t>
            </w:r>
            <w:r w:rsidRPr="009C56A7">
              <w:rPr>
                <w:rFonts w:cs="Arial"/>
                <w:bCs/>
                <w:sz w:val="18"/>
                <w:lang w:val="pl-PL"/>
              </w:rPr>
              <w:br/>
              <w:t xml:space="preserve">- rozwielitka (Daphnia </w:t>
            </w:r>
            <w:r w:rsidR="00064AFC">
              <w:rPr>
                <w:rFonts w:cs="Arial"/>
                <w:bCs/>
                <w:sz w:val="18"/>
                <w:lang w:val="pl-PL"/>
              </w:rPr>
              <w:t>magna):</w:t>
            </w:r>
          </w:p>
          <w:p w:rsidR="00774599" w:rsidRDefault="00774599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>- glony (Pseudokirchneriella sub.):</w:t>
            </w:r>
          </w:p>
          <w:p w:rsidR="00C27A1E" w:rsidRPr="009C56A7" w:rsidRDefault="00C27A1E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  <w:lang w:val="pl-PL"/>
              </w:rPr>
            </w:pPr>
            <w:r>
              <w:rPr>
                <w:rFonts w:cs="Arial"/>
                <w:bCs/>
                <w:sz w:val="18"/>
                <w:lang w:val="pl-PL"/>
              </w:rPr>
              <w:t>- rośliny wodne (Lemna gibba):</w:t>
            </w:r>
          </w:p>
          <w:p w:rsidR="006E2FF4" w:rsidRPr="009C56A7" w:rsidRDefault="006E2FF4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  <w:lang w:val="pl-PL"/>
              </w:rPr>
            </w:pPr>
          </w:p>
          <w:p w:rsidR="00774599" w:rsidRPr="009C56A7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  <w:u w:val="single"/>
                <w:lang w:val="pl-PL"/>
              </w:rPr>
            </w:pPr>
            <w:r w:rsidRPr="009C56A7">
              <w:rPr>
                <w:rFonts w:cs="Arial"/>
                <w:bCs/>
                <w:sz w:val="18"/>
                <w:u w:val="single"/>
                <w:lang w:val="pl-PL"/>
              </w:rPr>
              <w:t>Ostra toksyczność dla pszczół :</w:t>
            </w:r>
          </w:p>
          <w:p w:rsidR="00774599" w:rsidRPr="009C56A7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- doustna  </w:t>
            </w:r>
          </w:p>
          <w:p w:rsidR="00774599" w:rsidRPr="009C56A7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- kontaktowa      </w:t>
            </w:r>
          </w:p>
          <w:p w:rsidR="00774599" w:rsidRPr="009C56A7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774599" w:rsidRDefault="00774599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  <w:lang w:val="pl-PL" w:eastAsia="en-US"/>
              </w:rPr>
            </w:pPr>
            <w:r w:rsidRPr="009C56A7">
              <w:rPr>
                <w:rFonts w:eastAsiaTheme="minorHAnsi" w:cs="Arial"/>
                <w:snapToGrid/>
                <w:sz w:val="18"/>
                <w:lang w:val="pl-PL" w:eastAsia="en-US"/>
              </w:rPr>
              <w:t>LC</w:t>
            </w:r>
            <w:r w:rsidRPr="009C56A7">
              <w:rPr>
                <w:rFonts w:eastAsiaTheme="minorHAnsi" w:cs="Arial"/>
                <w:snapToGrid/>
                <w:sz w:val="18"/>
                <w:vertAlign w:val="subscript"/>
                <w:lang w:val="pl-PL" w:eastAsia="en-US"/>
              </w:rPr>
              <w:t>50</w:t>
            </w:r>
            <w:r w:rsidRPr="009C56A7">
              <w:rPr>
                <w:rFonts w:eastAsiaTheme="minorHAnsi" w:cs="Arial"/>
                <w:snapToGrid/>
                <w:sz w:val="18"/>
                <w:lang w:val="pl-PL" w:eastAsia="en-US"/>
              </w:rPr>
              <w:t xml:space="preserve">/96 h </w:t>
            </w:r>
            <w:r w:rsidR="00534505" w:rsidRPr="00534505">
              <w:rPr>
                <w:rFonts w:eastAsiaTheme="minorHAnsi" w:cs="Arial"/>
                <w:snapToGrid/>
                <w:sz w:val="18"/>
                <w:lang w:val="pl-PL" w:eastAsia="en-US"/>
              </w:rPr>
              <w:t>&gt; 100 mg/l</w:t>
            </w:r>
            <w:r w:rsidRPr="009C56A7">
              <w:rPr>
                <w:rFonts w:eastAsiaTheme="minorHAnsi" w:cs="Arial"/>
                <w:snapToGrid/>
                <w:sz w:val="18"/>
                <w:lang w:val="pl-PL" w:eastAsia="en-US"/>
              </w:rPr>
              <w:br/>
              <w:t xml:space="preserve">EC50/48 h </w:t>
            </w:r>
            <w:r w:rsidR="00064AFC">
              <w:rPr>
                <w:rFonts w:eastAsiaTheme="minorHAnsi" w:cs="Arial"/>
                <w:snapToGrid/>
                <w:sz w:val="18"/>
                <w:lang w:val="pl-PL" w:eastAsia="en-US"/>
              </w:rPr>
              <w:t xml:space="preserve">= </w:t>
            </w:r>
            <w:r w:rsidR="00064AFC" w:rsidRPr="00064AFC">
              <w:rPr>
                <w:rFonts w:eastAsiaTheme="minorHAnsi" w:cs="Arial"/>
                <w:snapToGrid/>
                <w:sz w:val="18"/>
                <w:lang w:val="pl-PL" w:eastAsia="en-US"/>
              </w:rPr>
              <w:t>394,03 mg/l</w:t>
            </w:r>
            <w:r w:rsidRPr="009C56A7">
              <w:rPr>
                <w:rFonts w:eastAsiaTheme="minorHAnsi" w:cs="Arial"/>
                <w:snapToGrid/>
                <w:sz w:val="18"/>
                <w:lang w:val="pl-PL" w:eastAsia="en-US"/>
              </w:rPr>
              <w:br/>
            </w:r>
            <w:r w:rsidR="00016B9A">
              <w:rPr>
                <w:rFonts w:eastAsiaTheme="minorHAnsi" w:cs="Arial"/>
                <w:snapToGrid/>
                <w:sz w:val="18"/>
                <w:lang w:val="pl-PL" w:eastAsia="en-US"/>
              </w:rPr>
              <w:t>ErC50/7</w:t>
            </w:r>
            <w:r w:rsidR="00064AFC">
              <w:rPr>
                <w:rFonts w:eastAsiaTheme="minorHAnsi" w:cs="Arial"/>
                <w:snapToGrid/>
                <w:sz w:val="18"/>
                <w:lang w:val="pl-PL" w:eastAsia="en-US"/>
              </w:rPr>
              <w:t>2h</w:t>
            </w:r>
            <w:r w:rsidR="00016B9A">
              <w:rPr>
                <w:rFonts w:eastAsiaTheme="minorHAnsi" w:cs="Arial"/>
                <w:snapToGrid/>
                <w:sz w:val="18"/>
                <w:lang w:val="pl-PL" w:eastAsia="en-US"/>
              </w:rPr>
              <w:t xml:space="preserve"> </w:t>
            </w:r>
            <w:r w:rsidR="00064AFC">
              <w:rPr>
                <w:rFonts w:eastAsiaTheme="minorHAnsi" w:cs="Arial"/>
                <w:snapToGrid/>
                <w:sz w:val="18"/>
                <w:lang w:val="pl-PL" w:eastAsia="en-US"/>
              </w:rPr>
              <w:t>= 342.67 mg/l</w:t>
            </w:r>
          </w:p>
          <w:p w:rsidR="00C27A1E" w:rsidRPr="009C56A7" w:rsidRDefault="00C27A1E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  <w:lang w:val="pl-PL" w:eastAsia="en-US"/>
              </w:rPr>
            </w:pPr>
            <w:r>
              <w:rPr>
                <w:rFonts w:eastAsiaTheme="minorHAnsi" w:cs="Arial"/>
                <w:snapToGrid/>
                <w:sz w:val="18"/>
                <w:lang w:val="pl-PL" w:eastAsia="en-US"/>
              </w:rPr>
              <w:t>ErC50/7d = 0.153 mg/l</w:t>
            </w:r>
          </w:p>
          <w:p w:rsidR="00064AFC" w:rsidRDefault="00064AFC" w:rsidP="00064AFC">
            <w:pPr>
              <w:autoSpaceDE w:val="0"/>
              <w:autoSpaceDN w:val="0"/>
              <w:adjustRightInd w:val="0"/>
              <w:spacing w:after="60"/>
              <w:rPr>
                <w:rFonts w:eastAsiaTheme="minorHAnsi" w:cs="Arial"/>
                <w:snapToGrid/>
                <w:sz w:val="18"/>
                <w:lang w:val="pl-PL" w:eastAsia="en-US"/>
              </w:rPr>
            </w:pPr>
          </w:p>
          <w:p w:rsidR="00064AFC" w:rsidRPr="009C56A7" w:rsidRDefault="00064AFC" w:rsidP="00064AFC">
            <w:pPr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lang w:val="pl-PL"/>
              </w:rPr>
            </w:pPr>
          </w:p>
          <w:p w:rsidR="00774599" w:rsidRPr="009C56A7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LD50 </w:t>
            </w:r>
            <w:r w:rsidR="002F1AA2">
              <w:rPr>
                <w:rFonts w:cs="Arial"/>
                <w:bCs/>
                <w:sz w:val="18"/>
                <w:lang w:val="pl-PL"/>
              </w:rPr>
              <w:t xml:space="preserve">- </w:t>
            </w:r>
            <w:r w:rsidR="002F1AA2" w:rsidRPr="002F1AA2">
              <w:rPr>
                <w:rFonts w:cs="Arial"/>
                <w:bCs/>
                <w:sz w:val="18"/>
                <w:lang w:val="pl-PL"/>
              </w:rPr>
              <w:t>brak dostępnych badań dla mieszaniny</w:t>
            </w:r>
          </w:p>
          <w:p w:rsidR="00774599" w:rsidRPr="009C56A7" w:rsidRDefault="00774599" w:rsidP="002F1AA2">
            <w:pPr>
              <w:autoSpaceDE w:val="0"/>
              <w:autoSpaceDN w:val="0"/>
              <w:adjustRightInd w:val="0"/>
              <w:spacing w:after="60"/>
              <w:ind w:left="34"/>
              <w:rPr>
                <w:rFonts w:eastAsiaTheme="minorHAnsi" w:cs="Arial"/>
                <w:snapToGrid/>
                <w:sz w:val="18"/>
                <w:lang w:val="pl-PL" w:eastAsia="en-US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 xml:space="preserve">LD50 </w:t>
            </w:r>
            <w:r w:rsidR="002F1AA2">
              <w:rPr>
                <w:rFonts w:cs="Arial"/>
                <w:bCs/>
                <w:sz w:val="18"/>
                <w:lang w:val="pl-PL"/>
              </w:rPr>
              <w:t xml:space="preserve">- </w:t>
            </w:r>
            <w:r w:rsidR="002F1AA2" w:rsidRPr="002F1AA2">
              <w:rPr>
                <w:rFonts w:cs="Arial"/>
                <w:bCs/>
                <w:sz w:val="18"/>
                <w:lang w:val="pl-PL"/>
              </w:rPr>
              <w:t>brak dostępnych badań dla mieszaniny</w:t>
            </w:r>
          </w:p>
        </w:tc>
      </w:tr>
      <w:tr w:rsidR="009C56A7" w:rsidRPr="000D6A28" w:rsidTr="001F261F">
        <w:trPr>
          <w:trHeight w:val="2471"/>
        </w:trPr>
        <w:tc>
          <w:tcPr>
            <w:tcW w:w="10490" w:type="dxa"/>
            <w:gridSpan w:val="4"/>
          </w:tcPr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12.2.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Trwałość i zdolność do rozkładu</w:t>
            </w:r>
          </w:p>
          <w:p w:rsidR="00064AFC" w:rsidRDefault="00525EE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18"/>
                <w:lang w:val="pl-PL"/>
              </w:rPr>
            </w:pPr>
            <w:r>
              <w:rPr>
                <w:rFonts w:cs="Arial"/>
                <w:bCs/>
                <w:sz w:val="18"/>
                <w:lang w:val="pl-PL"/>
              </w:rPr>
              <w:t xml:space="preserve">            </w:t>
            </w:r>
            <w:r w:rsidR="002F1AA2">
              <w:rPr>
                <w:rFonts w:cs="Arial"/>
                <w:bCs/>
                <w:sz w:val="18"/>
                <w:lang w:val="pl-PL"/>
              </w:rPr>
              <w:t xml:space="preserve"> </w:t>
            </w:r>
            <w:r w:rsidR="00064AFC" w:rsidRPr="00064AFC">
              <w:rPr>
                <w:rFonts w:cs="Arial"/>
                <w:bCs/>
                <w:sz w:val="18"/>
                <w:lang w:val="pl-PL"/>
              </w:rPr>
              <w:t>Brak dostępnych danych dla mieszaniny</w:t>
            </w:r>
          </w:p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12.3.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Zdolność do bioakumulacji</w:t>
            </w:r>
          </w:p>
          <w:p w:rsidR="00064AFC" w:rsidRDefault="00064AFC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18"/>
                <w:lang w:val="pl-PL"/>
              </w:rPr>
            </w:pPr>
            <w:r>
              <w:rPr>
                <w:rFonts w:cs="Arial"/>
                <w:bCs/>
                <w:sz w:val="18"/>
                <w:lang w:val="pl-PL"/>
              </w:rPr>
              <w:t xml:space="preserve">            </w:t>
            </w:r>
            <w:r w:rsidRPr="00064AFC">
              <w:rPr>
                <w:rFonts w:cs="Arial"/>
                <w:bCs/>
                <w:sz w:val="18"/>
                <w:lang w:val="pl-PL"/>
              </w:rPr>
              <w:t>Niska zdolność  (dla substancji Prometryna)</w:t>
            </w:r>
          </w:p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>12.4.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Mobilność w glebie</w:t>
            </w:r>
          </w:p>
          <w:p w:rsidR="00064AFC" w:rsidRDefault="006F2A6D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18"/>
                <w:lang w:val="pl-PL"/>
              </w:rPr>
            </w:pPr>
            <w:r>
              <w:rPr>
                <w:rFonts w:cs="Arial"/>
                <w:bCs/>
                <w:sz w:val="18"/>
                <w:lang w:val="pl-PL"/>
              </w:rPr>
              <w:t xml:space="preserve">            </w:t>
            </w:r>
            <w:r w:rsidR="00064AFC" w:rsidRPr="00064AFC">
              <w:rPr>
                <w:rFonts w:cs="Arial"/>
                <w:bCs/>
                <w:sz w:val="18"/>
                <w:lang w:val="pl-PL"/>
              </w:rPr>
              <w:t>Brak dostępnych danych dla mieszaniny</w:t>
            </w:r>
          </w:p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>12.5.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Wyniki oceny właściwości PBT i vPvB</w:t>
            </w:r>
          </w:p>
          <w:p w:rsidR="00774599" w:rsidRPr="009C56A7" w:rsidRDefault="006E2FF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>Żadna z substancji wchodzących w skład mieszaniny nie znajduje się na liście kandydackiej ECHA ze względu na właściwości PBT lub vPvB.</w:t>
            </w:r>
          </w:p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lang w:val="pl-PL"/>
              </w:rPr>
            </w:pPr>
            <w:r w:rsidRPr="009C56A7">
              <w:rPr>
                <w:rFonts w:cs="Arial"/>
                <w:b/>
                <w:bCs/>
                <w:sz w:val="18"/>
                <w:lang w:val="pl-PL"/>
              </w:rPr>
              <w:t xml:space="preserve">12.6. </w:t>
            </w:r>
            <w:r w:rsidRPr="009C56A7">
              <w:rPr>
                <w:rFonts w:cs="Arial"/>
                <w:b/>
                <w:bCs/>
                <w:sz w:val="18"/>
                <w:lang w:val="pl-PL"/>
              </w:rPr>
              <w:tab/>
              <w:t>Inne szkodliwe skutki działania</w:t>
            </w:r>
          </w:p>
          <w:p w:rsidR="00774599" w:rsidRPr="009C56A7" w:rsidRDefault="006E2FF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  <w:lang w:val="pl-PL"/>
              </w:rPr>
            </w:pPr>
            <w:r w:rsidRPr="009C56A7">
              <w:rPr>
                <w:rFonts w:cs="Arial"/>
                <w:bCs/>
                <w:sz w:val="18"/>
                <w:lang w:val="pl-PL"/>
              </w:rPr>
              <w:t>Nie są znane informacje wskazujące na inne szkodliwe skutki działania mieszaniny.</w:t>
            </w:r>
          </w:p>
        </w:tc>
      </w:tr>
    </w:tbl>
    <w:p w:rsidR="004863DE" w:rsidRPr="009C56A7" w:rsidRDefault="004863DE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9C56A7" w:rsidTr="00070502">
        <w:tc>
          <w:tcPr>
            <w:tcW w:w="10490" w:type="dxa"/>
            <w:shd w:val="clear" w:color="auto" w:fill="auto"/>
          </w:tcPr>
          <w:p w:rsidR="00552729" w:rsidRPr="009C56A7" w:rsidRDefault="00552729" w:rsidP="00552729">
            <w:pPr>
              <w:pStyle w:val="CWHead"/>
              <w:keepNext/>
              <w:keepLines/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13.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POSTĘPOWANIE Z ODPADAMI</w:t>
            </w:r>
          </w:p>
        </w:tc>
      </w:tr>
      <w:tr w:rsidR="009C56A7" w:rsidRPr="009C56A7" w:rsidTr="00070502">
        <w:trPr>
          <w:trHeight w:val="472"/>
        </w:trPr>
        <w:tc>
          <w:tcPr>
            <w:tcW w:w="10490" w:type="dxa"/>
            <w:shd w:val="clear" w:color="auto" w:fill="auto"/>
          </w:tcPr>
          <w:p w:rsidR="00ED3E3C" w:rsidRPr="009C56A7" w:rsidRDefault="00ED3E3C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  <w:lang w:val="pl-PL" w:eastAsia="en-US"/>
              </w:rPr>
            </w:pPr>
            <w:r w:rsidRPr="009C56A7">
              <w:rPr>
                <w:rFonts w:cs="Arial"/>
                <w:b/>
                <w:sz w:val="18"/>
                <w:lang w:val="pl-PL" w:eastAsia="en-US"/>
              </w:rPr>
              <w:t xml:space="preserve">13.1. </w:t>
            </w:r>
            <w:r w:rsidRPr="009C56A7">
              <w:rPr>
                <w:rFonts w:cs="Arial"/>
                <w:b/>
                <w:sz w:val="18"/>
                <w:lang w:val="pl-PL" w:eastAsia="en-US"/>
              </w:rPr>
              <w:tab/>
              <w:t>Metody unieszkodliwiania odpadów</w:t>
            </w:r>
          </w:p>
          <w:p w:rsidR="00155AC0" w:rsidRPr="009C56A7" w:rsidRDefault="00155AC0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u w:val="single"/>
                <w:lang w:val="pl-PL" w:eastAsia="en-US"/>
              </w:rPr>
            </w:pPr>
            <w:r w:rsidRPr="009C56A7">
              <w:rPr>
                <w:rFonts w:cs="Arial"/>
                <w:b/>
                <w:sz w:val="18"/>
                <w:lang w:val="pl-PL" w:eastAsia="en-US"/>
              </w:rPr>
              <w:t xml:space="preserve">            </w:t>
            </w:r>
            <w:r w:rsidRPr="009C56A7">
              <w:rPr>
                <w:rFonts w:cs="Arial"/>
                <w:sz w:val="18"/>
                <w:u w:val="single"/>
                <w:lang w:val="pl-PL" w:eastAsia="en-US"/>
              </w:rPr>
              <w:t>Usuwanie pozostałości środka:</w:t>
            </w:r>
          </w:p>
          <w:p w:rsidR="001F261F" w:rsidRPr="009C56A7" w:rsidRDefault="001F261F" w:rsidP="001F261F">
            <w:pPr>
              <w:autoSpaceDE w:val="0"/>
              <w:autoSpaceDN w:val="0"/>
              <w:adjustRightInd w:val="0"/>
              <w:ind w:left="601"/>
              <w:rPr>
                <w:rFonts w:cs="Arial"/>
                <w:sz w:val="18"/>
                <w:lang w:val="pl-PL" w:eastAsia="en-US"/>
              </w:rPr>
            </w:pPr>
            <w:r w:rsidRPr="009C56A7">
              <w:rPr>
                <w:rFonts w:cs="Arial"/>
                <w:sz w:val="18"/>
                <w:lang w:val="pl-PL" w:eastAsia="en-US"/>
              </w:rPr>
              <w:t xml:space="preserve">Utylizacją odpadów i opakowań jednorazowych powinny się zająć wyspecjalizowane firmy, sposób utylizacji odpadów należy uzgodnić z właściwymi terenowo wydziałem ochrony środowiska. Opakowanie traktować jako odpad niebezpieczny. </w:t>
            </w:r>
            <w:r w:rsidR="00E8397E" w:rsidRPr="009C56A7">
              <w:rPr>
                <w:rFonts w:cs="Arial"/>
                <w:sz w:val="18"/>
                <w:lang w:val="pl-PL" w:eastAsia="en-US"/>
              </w:rPr>
              <w:t xml:space="preserve">Nie wprowadzać do kanalizacji. Nie dopuszczać do zanieczyszczenia wód powierzchniowych (stawów, cieków wodnych, rowów melioracyjnych). </w:t>
            </w:r>
            <w:r w:rsidRPr="009C56A7">
              <w:rPr>
                <w:rFonts w:cs="Arial"/>
                <w:sz w:val="18"/>
                <w:lang w:val="pl-PL" w:eastAsia="en-US"/>
              </w:rPr>
              <w:t xml:space="preserve">Pozostałość składować w oryginalnych pojemnikach. Utylizować zgodnie z obowiązującymi przepisami. </w:t>
            </w:r>
          </w:p>
          <w:p w:rsidR="00E8397E" w:rsidRPr="009C56A7" w:rsidRDefault="00E8397E" w:rsidP="001F261F">
            <w:pPr>
              <w:autoSpaceDE w:val="0"/>
              <w:autoSpaceDN w:val="0"/>
              <w:adjustRightInd w:val="0"/>
              <w:ind w:left="601"/>
              <w:rPr>
                <w:rFonts w:cs="Arial"/>
                <w:sz w:val="16"/>
                <w:szCs w:val="16"/>
                <w:lang w:val="pl-PL" w:eastAsia="en-US"/>
              </w:rPr>
            </w:pPr>
            <w:r w:rsidRPr="009C56A7">
              <w:rPr>
                <w:rFonts w:cs="Arial"/>
                <w:sz w:val="16"/>
                <w:szCs w:val="16"/>
                <w:lang w:val="pl-PL" w:eastAsia="en-US"/>
              </w:rPr>
              <w:t>Klucz do oznaczania odpadów (European Waste Code): 02 01 08 Odpady agrochemikaliów zawierające substancje niebezpieczne, w tym środki ochrony roślin I i II klasy toksyczności (Bardzo toksyczne i toksyczne).</w:t>
            </w:r>
          </w:p>
          <w:p w:rsidR="00E8397E" w:rsidRPr="009C56A7" w:rsidRDefault="00E8397E" w:rsidP="001F261F">
            <w:pPr>
              <w:ind w:left="601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  <w:p w:rsidR="00E8397E" w:rsidRPr="009C56A7" w:rsidRDefault="00E8397E" w:rsidP="00E8397E">
            <w:pPr>
              <w:ind w:left="601"/>
              <w:jc w:val="both"/>
              <w:rPr>
                <w:rFonts w:cs="Arial"/>
                <w:sz w:val="18"/>
                <w:szCs w:val="22"/>
                <w:u w:val="single"/>
                <w:lang w:val="pl-PL"/>
              </w:rPr>
            </w:pPr>
            <w:r w:rsidRPr="009C56A7">
              <w:rPr>
                <w:rFonts w:cs="Arial"/>
                <w:sz w:val="18"/>
                <w:szCs w:val="22"/>
                <w:u w:val="single"/>
                <w:lang w:val="pl-PL"/>
              </w:rPr>
              <w:t>Usuwanie opakowań:</w:t>
            </w:r>
          </w:p>
          <w:p w:rsidR="00E8397E" w:rsidRPr="009C56A7" w:rsidRDefault="00E8397E" w:rsidP="00E8397E">
            <w:pPr>
              <w:ind w:left="601"/>
              <w:jc w:val="both"/>
              <w:rPr>
                <w:rFonts w:cs="Arial"/>
                <w:sz w:val="18"/>
                <w:szCs w:val="22"/>
                <w:lang w:val="pl-PL"/>
              </w:rPr>
            </w:pPr>
            <w:r w:rsidRPr="009C56A7">
              <w:rPr>
                <w:rFonts w:cs="Arial"/>
                <w:sz w:val="18"/>
                <w:szCs w:val="22"/>
                <w:lang w:val="pl-PL"/>
              </w:rPr>
              <w:t>Opróżnione opakowania przepłukać trzykrotnie wodą a popłuczyny wlać do zbiornika opryskiwacza. Zabrania się wykorzystywania opróżnionych opakowań po środkach ochrony roślin do innych celów, w tym także traktowania ich jako surowce wtórne. Opróżnione opakowania po środku zwrócić do sprzedawcy, u którego środek został zakupiony. Usuwać jako odpad niebezpieczny.</w:t>
            </w:r>
          </w:p>
        </w:tc>
      </w:tr>
    </w:tbl>
    <w:p w:rsidR="00552729" w:rsidRPr="009C56A7" w:rsidRDefault="00552729">
      <w:pPr>
        <w:rPr>
          <w:lang w:val="pl-PL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9C56A7" w:rsidTr="00070502">
        <w:tc>
          <w:tcPr>
            <w:tcW w:w="10490" w:type="dxa"/>
          </w:tcPr>
          <w:p w:rsidR="007D5E3C" w:rsidRPr="009C56A7" w:rsidRDefault="007D5E3C" w:rsidP="00560492">
            <w:pPr>
              <w:pStyle w:val="CWHead"/>
              <w:keepNext/>
              <w:keepLines/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 xml:space="preserve">Sekcja 14. </w:t>
            </w:r>
            <w:r w:rsidR="00560492"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INFORMACJE DOTYCZĄCE TRANSPORTU</w:t>
            </w:r>
          </w:p>
        </w:tc>
      </w:tr>
      <w:tr w:rsidR="009C56A7" w:rsidRPr="000D6A28" w:rsidTr="00070502">
        <w:tc>
          <w:tcPr>
            <w:tcW w:w="10490" w:type="dxa"/>
          </w:tcPr>
          <w:p w:rsidR="007D5E3C" w:rsidRPr="00C27A1E" w:rsidRDefault="009554DD" w:rsidP="00E75F40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lang w:val="en-US" w:eastAsia="en-US"/>
              </w:rPr>
            </w:pPr>
            <w:r w:rsidRPr="00C27A1E">
              <w:rPr>
                <w:rFonts w:cs="Arial"/>
                <w:sz w:val="18"/>
                <w:u w:val="single"/>
                <w:lang w:val="en-US" w:eastAsia="en-US"/>
              </w:rPr>
              <w:t xml:space="preserve">Transport drogą lądową </w:t>
            </w:r>
            <w:r w:rsidR="007D5E3C" w:rsidRPr="00C27A1E">
              <w:rPr>
                <w:rFonts w:cs="Arial"/>
                <w:sz w:val="18"/>
                <w:u w:val="single"/>
                <w:lang w:val="en-US" w:eastAsia="en-US"/>
              </w:rPr>
              <w:t>ADR/RID</w:t>
            </w:r>
            <w:r w:rsidRPr="00C27A1E">
              <w:rPr>
                <w:rFonts w:cs="Arial"/>
                <w:sz w:val="18"/>
                <w:lang w:val="en-US" w:eastAsia="en-US"/>
              </w:rPr>
              <w:t>:</w:t>
            </w:r>
          </w:p>
          <w:p w:rsidR="00E903A0" w:rsidRPr="00DF5697" w:rsidRDefault="00560492" w:rsidP="00E75F40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en-US" w:eastAsia="en-US"/>
              </w:rPr>
            </w:pPr>
            <w:r w:rsidRPr="00C27A1E">
              <w:rPr>
                <w:rFonts w:cs="Arial"/>
                <w:b/>
                <w:sz w:val="18"/>
                <w:lang w:val="en-US" w:eastAsia="en-US"/>
              </w:rPr>
              <w:t xml:space="preserve">14.1. </w:t>
            </w:r>
            <w:r w:rsidR="00C57839" w:rsidRPr="00C27A1E">
              <w:rPr>
                <w:rFonts w:cs="Arial"/>
                <w:b/>
                <w:sz w:val="18"/>
                <w:lang w:val="en-US" w:eastAsia="en-US"/>
              </w:rPr>
              <w:tab/>
            </w:r>
            <w:r w:rsidRPr="00DF5697">
              <w:rPr>
                <w:rFonts w:cs="Arial"/>
                <w:b/>
                <w:sz w:val="18"/>
                <w:lang w:val="en-US" w:eastAsia="en-US"/>
              </w:rPr>
              <w:t>Numer UN</w:t>
            </w:r>
            <w:r w:rsidR="001D2A1F" w:rsidRPr="00DF5697">
              <w:rPr>
                <w:rFonts w:cs="Arial"/>
                <w:b/>
                <w:sz w:val="18"/>
                <w:lang w:val="en-US" w:eastAsia="en-US"/>
              </w:rPr>
              <w:t xml:space="preserve"> (numer ONZ)</w:t>
            </w:r>
            <w:r w:rsidR="00AF41BE" w:rsidRPr="00DF5697">
              <w:rPr>
                <w:rFonts w:cs="Arial"/>
                <w:b/>
                <w:sz w:val="18"/>
                <w:lang w:val="en-US" w:eastAsia="en-US"/>
              </w:rPr>
              <w:t>:</w:t>
            </w:r>
            <w:r w:rsidR="00AF41BE" w:rsidRPr="00DF5697">
              <w:rPr>
                <w:rFonts w:cs="Arial"/>
                <w:sz w:val="18"/>
                <w:lang w:val="en-US" w:eastAsia="en-US"/>
              </w:rPr>
              <w:t xml:space="preserve"> </w:t>
            </w:r>
            <w:r w:rsidR="00064AFC" w:rsidRPr="00DF5697">
              <w:rPr>
                <w:rFonts w:cs="Arial"/>
                <w:sz w:val="18"/>
                <w:lang w:val="en-US" w:eastAsia="en-US"/>
              </w:rPr>
              <w:t>UN 3082</w:t>
            </w:r>
          </w:p>
          <w:p w:rsidR="002F1AA2" w:rsidRDefault="001D2A1F" w:rsidP="00E75F40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pl-PL" w:eastAsia="en-US"/>
              </w:rPr>
            </w:pPr>
            <w:r w:rsidRPr="00DF5697">
              <w:rPr>
                <w:rFonts w:cs="Arial"/>
                <w:b/>
                <w:sz w:val="18"/>
                <w:lang w:val="pl-PL" w:eastAsia="en-US"/>
              </w:rPr>
              <w:t xml:space="preserve">14.2. </w:t>
            </w:r>
            <w:r w:rsidR="001D41CB" w:rsidRPr="00DF5697">
              <w:rPr>
                <w:rFonts w:cs="Arial"/>
                <w:b/>
                <w:sz w:val="18"/>
                <w:lang w:val="pl-PL" w:eastAsia="en-US"/>
              </w:rPr>
              <w:tab/>
            </w:r>
            <w:r w:rsidR="00AF41BE" w:rsidRPr="00DF5697">
              <w:rPr>
                <w:rFonts w:cs="Arial"/>
                <w:b/>
                <w:sz w:val="18"/>
                <w:lang w:val="pl-PL" w:eastAsia="en-US"/>
              </w:rPr>
              <w:t>Prawidłowa nazwa przewozowa UN:</w:t>
            </w:r>
            <w:r w:rsidR="00AF41BE" w:rsidRPr="00DF5697">
              <w:rPr>
                <w:rFonts w:cs="Arial"/>
                <w:sz w:val="18"/>
                <w:lang w:val="pl-PL" w:eastAsia="en-US"/>
              </w:rPr>
              <w:t xml:space="preserve"> </w:t>
            </w:r>
          </w:p>
          <w:p w:rsidR="00DF5697" w:rsidRPr="00DF5697" w:rsidRDefault="00DF5697" w:rsidP="00E75F40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pl-PL" w:eastAsia="en-US"/>
              </w:rPr>
            </w:pPr>
            <w:r w:rsidRPr="00DF5697">
              <w:rPr>
                <w:rFonts w:cs="Arial"/>
                <w:sz w:val="18"/>
                <w:lang w:val="pl-PL" w:eastAsia="en-US"/>
              </w:rPr>
              <w:t>MATERIAŁ ZAGRAŻAJĄCY ŚRODOWISKU, CIEKŁY, I.N.O.</w:t>
            </w:r>
          </w:p>
          <w:p w:rsidR="00E903A0" w:rsidRPr="00DF5697" w:rsidRDefault="001D2A1F" w:rsidP="00E75F40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lang w:val="pl-PL" w:eastAsia="en-US"/>
              </w:rPr>
            </w:pPr>
            <w:r w:rsidRPr="00DF5697">
              <w:rPr>
                <w:rFonts w:cs="Arial"/>
                <w:b/>
                <w:sz w:val="18"/>
                <w:lang w:val="pl-PL" w:eastAsia="en-US"/>
              </w:rPr>
              <w:t xml:space="preserve">14.3. </w:t>
            </w:r>
            <w:r w:rsidRPr="00DF5697">
              <w:rPr>
                <w:rFonts w:cs="Arial"/>
                <w:b/>
                <w:sz w:val="18"/>
                <w:lang w:val="pl-PL" w:eastAsia="en-US"/>
              </w:rPr>
              <w:tab/>
              <w:t>Kla</w:t>
            </w:r>
            <w:r w:rsidR="001D41CB" w:rsidRPr="00DF5697">
              <w:rPr>
                <w:rFonts w:cs="Arial"/>
                <w:b/>
                <w:sz w:val="18"/>
                <w:lang w:val="pl-PL" w:eastAsia="en-US"/>
              </w:rPr>
              <w:t>s</w:t>
            </w:r>
            <w:r w:rsidR="00657D05" w:rsidRPr="00DF5697">
              <w:rPr>
                <w:rFonts w:cs="Arial"/>
                <w:b/>
                <w:sz w:val="18"/>
                <w:lang w:val="pl-PL" w:eastAsia="en-US"/>
              </w:rPr>
              <w:t>a(-y) zagrożenia w transporcie:</w:t>
            </w:r>
            <w:r w:rsidR="00657D05" w:rsidRPr="00DF5697">
              <w:rPr>
                <w:rFonts w:cs="Arial"/>
                <w:sz w:val="18"/>
                <w:lang w:val="pl-PL" w:eastAsia="en-US"/>
              </w:rPr>
              <w:t xml:space="preserve"> </w:t>
            </w:r>
            <w:r w:rsidR="00DF5697">
              <w:rPr>
                <w:rFonts w:cs="Arial"/>
                <w:sz w:val="18"/>
                <w:lang w:val="pl-PL" w:eastAsia="en-US"/>
              </w:rPr>
              <w:t>9/90</w:t>
            </w:r>
          </w:p>
          <w:p w:rsidR="00E903A0" w:rsidRPr="00DF5697" w:rsidRDefault="001D41CB" w:rsidP="00E75F40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lang w:val="pl-PL" w:eastAsia="en-US"/>
              </w:rPr>
            </w:pPr>
            <w:r w:rsidRPr="00DF5697">
              <w:rPr>
                <w:rFonts w:cs="Arial"/>
                <w:b/>
                <w:sz w:val="18"/>
                <w:lang w:val="pl-PL" w:eastAsia="en-US"/>
              </w:rPr>
              <w:t>14.4.</w:t>
            </w:r>
            <w:r w:rsidRPr="00DF5697">
              <w:rPr>
                <w:rFonts w:cs="Arial"/>
                <w:b/>
                <w:sz w:val="18"/>
                <w:lang w:val="pl-PL" w:eastAsia="en-US"/>
              </w:rPr>
              <w:tab/>
            </w:r>
            <w:r w:rsidR="00657D05" w:rsidRPr="00DF5697">
              <w:rPr>
                <w:rFonts w:cs="Arial"/>
                <w:b/>
                <w:sz w:val="18"/>
                <w:lang w:val="pl-PL" w:eastAsia="en-US"/>
              </w:rPr>
              <w:t>Grupa pakowania:</w:t>
            </w:r>
            <w:r w:rsidR="00657D05" w:rsidRPr="00DF5697">
              <w:rPr>
                <w:rFonts w:cs="Arial"/>
                <w:sz w:val="18"/>
                <w:lang w:val="pl-PL" w:eastAsia="en-US"/>
              </w:rPr>
              <w:t xml:space="preserve"> </w:t>
            </w:r>
            <w:r w:rsidR="00DF5697">
              <w:rPr>
                <w:rFonts w:cs="Arial"/>
                <w:sz w:val="18"/>
                <w:lang w:val="pl-PL" w:eastAsia="en-US"/>
              </w:rPr>
              <w:t>III</w:t>
            </w:r>
          </w:p>
          <w:p w:rsidR="00E903A0" w:rsidRPr="00DF5697" w:rsidRDefault="001D2A1F" w:rsidP="00E75F40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lang w:val="pl-PL" w:eastAsia="en-US"/>
              </w:rPr>
            </w:pPr>
            <w:r w:rsidRPr="00DF5697">
              <w:rPr>
                <w:rFonts w:cs="Arial"/>
                <w:b/>
                <w:sz w:val="18"/>
                <w:lang w:val="pl-PL" w:eastAsia="en-US"/>
              </w:rPr>
              <w:t xml:space="preserve">14.5. </w:t>
            </w:r>
            <w:r w:rsidRPr="00DF5697">
              <w:rPr>
                <w:rFonts w:cs="Arial"/>
                <w:b/>
                <w:sz w:val="18"/>
                <w:lang w:val="pl-PL" w:eastAsia="en-US"/>
              </w:rPr>
              <w:tab/>
              <w:t>Z</w:t>
            </w:r>
            <w:r w:rsidR="00657D05" w:rsidRPr="00DF5697">
              <w:rPr>
                <w:rFonts w:cs="Arial"/>
                <w:b/>
                <w:sz w:val="18"/>
                <w:lang w:val="pl-PL" w:eastAsia="en-US"/>
              </w:rPr>
              <w:t>agrożenia dla środowiska:</w:t>
            </w:r>
            <w:r w:rsidR="00657D05" w:rsidRPr="00DF5697">
              <w:rPr>
                <w:rFonts w:cs="Arial"/>
                <w:sz w:val="18"/>
                <w:lang w:val="pl-PL" w:eastAsia="en-US"/>
              </w:rPr>
              <w:t xml:space="preserve"> </w:t>
            </w:r>
            <w:r w:rsidR="00DF5697">
              <w:rPr>
                <w:rFonts w:cs="Arial"/>
                <w:sz w:val="18"/>
                <w:lang w:val="pl-PL" w:eastAsia="en-US"/>
              </w:rPr>
              <w:t>tak</w:t>
            </w:r>
          </w:p>
          <w:p w:rsidR="00E903A0" w:rsidRPr="00DF5697" w:rsidRDefault="001D2A1F" w:rsidP="00E75F40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lang w:val="pl-PL" w:eastAsia="en-US"/>
              </w:rPr>
            </w:pPr>
            <w:r w:rsidRPr="00DF5697">
              <w:rPr>
                <w:rFonts w:cs="Arial"/>
                <w:b/>
                <w:sz w:val="18"/>
                <w:lang w:val="pl-PL" w:eastAsia="en-US"/>
              </w:rPr>
              <w:t>14.6.</w:t>
            </w:r>
            <w:r w:rsidRPr="00DF5697">
              <w:rPr>
                <w:rFonts w:cs="Arial"/>
                <w:b/>
                <w:sz w:val="18"/>
                <w:lang w:val="pl-PL" w:eastAsia="en-US"/>
              </w:rPr>
              <w:tab/>
              <w:t>Szczególne środ</w:t>
            </w:r>
            <w:r w:rsidR="001D41CB" w:rsidRPr="00DF5697">
              <w:rPr>
                <w:rFonts w:cs="Arial"/>
                <w:b/>
                <w:sz w:val="18"/>
                <w:lang w:val="pl-PL" w:eastAsia="en-US"/>
              </w:rPr>
              <w:t>k</w:t>
            </w:r>
            <w:r w:rsidR="00657D05" w:rsidRPr="00DF5697">
              <w:rPr>
                <w:rFonts w:cs="Arial"/>
                <w:b/>
                <w:sz w:val="18"/>
                <w:lang w:val="pl-PL" w:eastAsia="en-US"/>
              </w:rPr>
              <w:t xml:space="preserve">i ostrożności dla użytkowników: </w:t>
            </w:r>
            <w:r w:rsidR="00E8397E" w:rsidRPr="00DF5697">
              <w:rPr>
                <w:rFonts w:cs="Arial"/>
                <w:sz w:val="18"/>
                <w:lang w:val="pl-PL" w:eastAsia="en-US"/>
              </w:rPr>
              <w:t xml:space="preserve">brak </w:t>
            </w:r>
          </w:p>
          <w:p w:rsidR="007D5E3C" w:rsidRPr="009C56A7" w:rsidRDefault="001D2A1F" w:rsidP="001F261F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lang w:val="pl-PL" w:eastAsia="en-US"/>
              </w:rPr>
            </w:pPr>
            <w:r w:rsidRPr="00DF5697">
              <w:rPr>
                <w:rFonts w:cs="Arial"/>
                <w:b/>
                <w:sz w:val="18"/>
                <w:lang w:val="pl-PL" w:eastAsia="en-US"/>
              </w:rPr>
              <w:t>14.7.</w:t>
            </w:r>
            <w:r w:rsidRPr="00DF5697">
              <w:rPr>
                <w:rFonts w:cs="Arial"/>
                <w:b/>
                <w:sz w:val="18"/>
                <w:lang w:val="pl-PL" w:eastAsia="en-US"/>
              </w:rPr>
              <w:tab/>
            </w:r>
            <w:r w:rsidR="007435A7" w:rsidRPr="00DF5697">
              <w:rPr>
                <w:rFonts w:cs="Arial"/>
                <w:b/>
                <w:sz w:val="18"/>
                <w:lang w:val="pl-PL" w:eastAsia="en-US"/>
              </w:rPr>
              <w:t>T</w:t>
            </w:r>
            <w:r w:rsidRPr="00DF5697">
              <w:rPr>
                <w:rFonts w:cs="Arial"/>
                <w:b/>
                <w:sz w:val="18"/>
                <w:lang w:val="pl-PL" w:eastAsia="en-US"/>
              </w:rPr>
              <w:t>ransport luzem zgodnie z za</w:t>
            </w:r>
            <w:r w:rsidR="007435A7" w:rsidRPr="00DF5697">
              <w:rPr>
                <w:rFonts w:cs="Arial"/>
                <w:b/>
                <w:sz w:val="18"/>
                <w:lang w:val="pl-PL" w:eastAsia="en-US"/>
              </w:rPr>
              <w:t>łącznikiem II do konwencji MARPOL 73/78 i kodeksem IBC</w:t>
            </w:r>
            <w:r w:rsidR="00314F72" w:rsidRPr="00DF5697">
              <w:rPr>
                <w:rFonts w:cs="Arial"/>
                <w:b/>
                <w:sz w:val="18"/>
                <w:lang w:val="pl-PL" w:eastAsia="en-US"/>
              </w:rPr>
              <w:t xml:space="preserve">: </w:t>
            </w:r>
            <w:r w:rsidR="00314F72" w:rsidRPr="00DF5697">
              <w:rPr>
                <w:rFonts w:cs="Arial"/>
                <w:b/>
                <w:sz w:val="18"/>
                <w:lang w:val="pl-PL" w:eastAsia="en-US"/>
              </w:rPr>
              <w:br/>
            </w:r>
            <w:r w:rsidR="00314F72" w:rsidRPr="00DF5697">
              <w:rPr>
                <w:rFonts w:cs="Arial"/>
                <w:b/>
                <w:sz w:val="18"/>
                <w:lang w:val="pl-PL" w:eastAsia="en-US"/>
              </w:rPr>
              <w:tab/>
            </w:r>
            <w:r w:rsidR="001F261F" w:rsidRPr="00DF5697">
              <w:rPr>
                <w:rFonts w:cs="Arial"/>
                <w:sz w:val="18"/>
                <w:lang w:val="pl-PL" w:eastAsia="en-US"/>
              </w:rPr>
              <w:t>Brak informacji.</w:t>
            </w:r>
          </w:p>
        </w:tc>
      </w:tr>
    </w:tbl>
    <w:p w:rsidR="00F64FE2" w:rsidRPr="009C56A7" w:rsidRDefault="00F64FE2">
      <w:pPr>
        <w:rPr>
          <w:lang w:val="fr-FR"/>
        </w:rPr>
      </w:pP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10490"/>
      </w:tblGrid>
      <w:tr w:rsidR="009C56A7" w:rsidRPr="000D6A28" w:rsidTr="00070502">
        <w:tc>
          <w:tcPr>
            <w:tcW w:w="10490" w:type="dxa"/>
          </w:tcPr>
          <w:p w:rsidR="00CF0DBB" w:rsidRPr="009C56A7" w:rsidRDefault="00CF0DBB" w:rsidP="00CF0DBB">
            <w:pPr>
              <w:pStyle w:val="CWHead"/>
              <w:keepNext/>
              <w:keepLines/>
              <w:tabs>
                <w:tab w:val="left" w:pos="1310"/>
                <w:tab w:val="left" w:pos="642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Sekcja 15. </w:t>
            </w:r>
            <w:r w:rsidRPr="009C56A7">
              <w:rPr>
                <w:rFonts w:ascii="Arial" w:hAnsi="Arial" w:cs="Arial"/>
                <w:sz w:val="22"/>
                <w:szCs w:val="22"/>
                <w:lang w:val="pl-PL"/>
              </w:rPr>
              <w:tab/>
              <w:t>INFORMACJE DOTYCZĄCE PRZEPISÓW PRAWNYCH</w:t>
            </w:r>
          </w:p>
        </w:tc>
      </w:tr>
      <w:tr w:rsidR="009C56A7" w:rsidRPr="000D6A28" w:rsidTr="00070502">
        <w:tc>
          <w:tcPr>
            <w:tcW w:w="10490" w:type="dxa"/>
          </w:tcPr>
          <w:p w:rsidR="00CF0DBB" w:rsidRPr="009C56A7" w:rsidRDefault="00D37B1D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EUAlbertina"/>
                <w:b/>
                <w:bCs/>
                <w:sz w:val="18"/>
                <w:szCs w:val="17"/>
                <w:lang w:val="pl-PL"/>
              </w:rPr>
            </w:pPr>
            <w:r w:rsidRPr="009C56A7">
              <w:rPr>
                <w:rFonts w:cs="Arial"/>
                <w:b/>
                <w:sz w:val="18"/>
                <w:lang w:val="pl-PL" w:eastAsia="en-US"/>
              </w:rPr>
              <w:t>15</w:t>
            </w:r>
            <w:r w:rsidR="00CF0DBB" w:rsidRPr="009C56A7">
              <w:rPr>
                <w:rFonts w:cs="Arial"/>
                <w:b/>
                <w:sz w:val="18"/>
                <w:lang w:val="pl-PL" w:eastAsia="en-US"/>
              </w:rPr>
              <w:t xml:space="preserve">.1. </w:t>
            </w:r>
            <w:r w:rsidR="00CF0DBB" w:rsidRPr="009C56A7">
              <w:rPr>
                <w:rFonts w:cs="Arial"/>
                <w:b/>
                <w:sz w:val="18"/>
                <w:lang w:val="pl-PL" w:eastAsia="en-US"/>
              </w:rPr>
              <w:tab/>
            </w:r>
            <w:r w:rsidR="00CF0DBB" w:rsidRPr="009C56A7">
              <w:rPr>
                <w:rFonts w:cs="EUAlbertina"/>
                <w:b/>
                <w:bCs/>
                <w:sz w:val="18"/>
                <w:szCs w:val="17"/>
                <w:lang w:val="pl-PL"/>
              </w:rPr>
              <w:t xml:space="preserve">Przepisy prawne dotyczące bezpieczeństwa, ochrony zdrowia i środowiska specyficzne dla </w:t>
            </w:r>
            <w:r w:rsidR="000048B3" w:rsidRPr="009C56A7">
              <w:rPr>
                <w:rFonts w:cs="EUAlbertina"/>
                <w:b/>
                <w:bCs/>
                <w:sz w:val="18"/>
                <w:szCs w:val="17"/>
                <w:lang w:val="pl-PL"/>
              </w:rPr>
              <w:tab/>
            </w:r>
            <w:r w:rsidR="00CF0DBB" w:rsidRPr="009C56A7">
              <w:rPr>
                <w:rFonts w:cs="EUAlbertina"/>
                <w:b/>
                <w:bCs/>
                <w:sz w:val="18"/>
                <w:szCs w:val="17"/>
                <w:lang w:val="pl-PL"/>
              </w:rPr>
              <w:t xml:space="preserve">substancji lub </w:t>
            </w:r>
            <w:r w:rsidR="00070502" w:rsidRPr="009C56A7">
              <w:rPr>
                <w:rFonts w:cs="EUAlbertina"/>
                <w:b/>
                <w:bCs/>
                <w:sz w:val="18"/>
                <w:szCs w:val="17"/>
                <w:lang w:val="pl-PL"/>
              </w:rPr>
              <w:tab/>
            </w:r>
            <w:r w:rsidR="00CF0DBB" w:rsidRPr="009C56A7">
              <w:rPr>
                <w:rFonts w:cs="EUAlbertina"/>
                <w:b/>
                <w:bCs/>
                <w:sz w:val="18"/>
                <w:szCs w:val="17"/>
                <w:lang w:val="pl-PL"/>
              </w:rPr>
              <w:t>mieszaniny</w:t>
            </w:r>
          </w:p>
          <w:p w:rsidR="00D37B1D" w:rsidRPr="009C56A7" w:rsidRDefault="00D37B1D" w:rsidP="00D37B1D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rPr>
                <w:rFonts w:cs="EUAlbertina"/>
                <w:bCs/>
                <w:sz w:val="18"/>
                <w:szCs w:val="17"/>
                <w:lang w:val="pl-PL"/>
              </w:rPr>
            </w:pPr>
            <w:r w:rsidRPr="009C56A7">
              <w:rPr>
                <w:rFonts w:cs="EUAlbertina"/>
                <w:bCs/>
                <w:sz w:val="18"/>
                <w:szCs w:val="17"/>
                <w:u w:val="single"/>
                <w:lang w:val="pl-PL"/>
              </w:rPr>
              <w:t>Akty prawne</w:t>
            </w:r>
            <w:r w:rsidRPr="009C56A7">
              <w:rPr>
                <w:rFonts w:cs="EUAlbertina"/>
                <w:bCs/>
                <w:sz w:val="18"/>
                <w:szCs w:val="17"/>
                <w:lang w:val="pl-PL"/>
              </w:rPr>
              <w:t>:</w:t>
            </w:r>
          </w:p>
          <w:p w:rsidR="00BB75FE" w:rsidRPr="009C56A7" w:rsidRDefault="00D37B1D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</w:t>
            </w:r>
            <w:r w:rsidR="00177CF3"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 xml:space="preserve"> (Dz. U. UE L 396)</w:t>
            </w:r>
            <w:r w:rsidR="006D56F7"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 xml:space="preserve">, </w:t>
            </w:r>
            <w:r w:rsidR="006D56F7"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>z późniejszymi zmianami</w:t>
            </w:r>
          </w:p>
          <w:p w:rsidR="006D56F7" w:rsidRPr="009C56A7" w:rsidRDefault="00BB75FE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</w:t>
            </w:r>
            <w:r w:rsidR="00177CF3"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 xml:space="preserve"> (Dz. U. UE L 353)</w:t>
            </w:r>
            <w:r w:rsidR="006D56F7"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 xml:space="preserve">, </w:t>
            </w:r>
            <w:r w:rsidR="006D56F7"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>z późniejszymi zmianami</w:t>
            </w:r>
          </w:p>
          <w:p w:rsidR="006D56F7" w:rsidRPr="009C56A7" w:rsidRDefault="006D56F7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>DYREKTYWA 1999/45/WE PARLAMENTU EUROPEJSKIEGO I RADY z dnia 31 maja 1999 r. w sprawie zbliżenia przepisów ustawowych, wykonawczych i administracyjnych Państw Członkowskich odnoszących się do klasyfikacji, pakowania i etykietowania preparatów niebezpiecznych</w:t>
            </w:r>
            <w:r w:rsidR="00177CF3"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 xml:space="preserve"> (Dz. U. WE L 200)</w:t>
            </w:r>
            <w:r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>, z późniejszymi zmianami</w:t>
            </w:r>
          </w:p>
          <w:p w:rsidR="00DE71A9" w:rsidRPr="009C56A7" w:rsidRDefault="00DE71A9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>USTAWA o substancjach chemicznych i mieszaninach</w:t>
            </w:r>
            <w:r w:rsidR="0045365D"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 xml:space="preserve"> (Dz. U. 2011 Nr 63, poz. 322), z późniejszymi zmianami</w:t>
            </w:r>
          </w:p>
          <w:p w:rsidR="009C47BD" w:rsidRPr="009C56A7" w:rsidRDefault="009C47BD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>UMOWA europejska dotycząca międzynarodowego przewozu drogowego towarów niebezpiecznych (ADR)</w:t>
            </w:r>
            <w:r w:rsidR="00BB1382"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>,</w:t>
            </w:r>
            <w:r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 xml:space="preserve"> </w:t>
            </w:r>
            <w:r w:rsidR="00BB1382"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>w</w:t>
            </w:r>
            <w:r w:rsidR="00E5239F" w:rsidRPr="009C56A7">
              <w:rPr>
                <w:rFonts w:eastAsia="EUAlbertina-Bold-Identity-H" w:cs="Arial"/>
                <w:bCs/>
                <w:snapToGrid/>
                <w:sz w:val="16"/>
                <w:lang w:val="pl-PL" w:eastAsia="en-US"/>
              </w:rPr>
              <w:t>ersja obowiązująca od 01.01.2011</w:t>
            </w:r>
          </w:p>
          <w:p w:rsidR="007024E9" w:rsidRPr="009C56A7" w:rsidRDefault="00B26227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 xml:space="preserve">ZARZĄDZENIE </w:t>
            </w:r>
            <w:r w:rsidR="00BB75FE"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 xml:space="preserve">nr 1 Ministra Gospodarki, Pracy i Polityki Społecznej z dnia 12.02.2003 r. w zakresie ADR; </w:t>
            </w: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 xml:space="preserve">ZARZĄDZENIE </w:t>
            </w:r>
            <w:r w:rsidR="00BB75FE"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>nr 8 Ministra Gospodarki i Pracy z dnia 21.07.2004 r. w zakresie RID</w:t>
            </w:r>
          </w:p>
          <w:p w:rsidR="007024E9" w:rsidRPr="009C56A7" w:rsidRDefault="00B26227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cs="Arial"/>
                <w:bCs/>
                <w:sz w:val="16"/>
                <w:lang w:val="pl-PL"/>
              </w:rPr>
              <w:t xml:space="preserve">ROZPORZĄDZENIE </w:t>
            </w:r>
            <w:r w:rsidR="006D56F7" w:rsidRPr="009C56A7">
              <w:rPr>
                <w:rFonts w:cs="Arial"/>
                <w:bCs/>
                <w:sz w:val="16"/>
                <w:lang w:val="pl-PL"/>
              </w:rPr>
              <w:t>Ministra Pracy i Polityki Społecznej z dnia 29 listopada 2002 r. w sprawie najwyższych dopuszczalnych stężeń i natężeń czynników szkodliwych dla zdrowia w środowisku pracy (Dz. U. 2002 Nr 217, poz. 1833) z późniejszymi zmianami</w:t>
            </w:r>
          </w:p>
          <w:p w:rsidR="00E8397E" w:rsidRPr="009C56A7" w:rsidRDefault="006D56F7" w:rsidP="00E8397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cs="Arial"/>
                <w:bCs/>
                <w:sz w:val="16"/>
                <w:lang w:val="pl-PL"/>
              </w:rPr>
              <w:t>USTAWA z dnia 11 maja 2001 r. o opakowaniach i odpadach opakowaniowych (Dz. U. 2001 Nr 63, poz. 638), z późniejszymi zmianami</w:t>
            </w:r>
          </w:p>
          <w:p w:rsidR="00E8397E" w:rsidRPr="009C56A7" w:rsidRDefault="00E8397E" w:rsidP="00E8397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>Dyrektywa Rady Nr 75/442/EEC w sprawie odpadów</w:t>
            </w:r>
          </w:p>
          <w:p w:rsidR="00E8397E" w:rsidRPr="009C56A7" w:rsidRDefault="00E8397E" w:rsidP="00E8397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>Dyrektywa Rady Nr 91/689/EEC w sprawie odpadów niebezpiecznych, Decyzja komisji Nr 2000/532/EC z 3 maja 2000r podająca wykaz odpadów, OJ Nr L 226/3 z 6 września 2000r, wraz z decyzjami zmieniającymi.</w:t>
            </w:r>
          </w:p>
          <w:p w:rsidR="00E31187" w:rsidRPr="009C56A7" w:rsidRDefault="00B26227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cs="Arial"/>
                <w:sz w:val="16"/>
                <w:lang w:val="pl-PL" w:eastAsia="en-US"/>
              </w:rPr>
              <w:t xml:space="preserve">ROZPORZĄDZENIE </w:t>
            </w:r>
            <w:r w:rsidR="00E31187" w:rsidRPr="009C56A7">
              <w:rPr>
                <w:rFonts w:cs="Arial"/>
                <w:sz w:val="16"/>
                <w:lang w:val="pl-PL" w:eastAsia="en-US"/>
              </w:rPr>
              <w:t xml:space="preserve">Ministra Środowiska z dnia 27 września 2001 r. w sprawie katalogu odpadów (Dz. U. 2001 Nr 112, poz. 1206), </w:t>
            </w:r>
            <w:r w:rsidR="00E31187" w:rsidRPr="009C56A7">
              <w:rPr>
                <w:rFonts w:cs="Arial"/>
                <w:bCs/>
                <w:sz w:val="16"/>
                <w:lang w:val="pl-PL"/>
              </w:rPr>
              <w:t>z późniejszymi zmianami</w:t>
            </w:r>
          </w:p>
          <w:p w:rsidR="008E234E" w:rsidRPr="009C56A7" w:rsidRDefault="00B26227" w:rsidP="008E234E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cs="Arial"/>
                <w:bCs/>
                <w:sz w:val="16"/>
                <w:lang w:val="pl-PL"/>
              </w:rPr>
              <w:t xml:space="preserve">ROZPORZĄDZENIE </w:t>
            </w:r>
            <w:r w:rsidR="008E234E" w:rsidRPr="009C56A7">
              <w:rPr>
                <w:rFonts w:cs="Arial"/>
                <w:bCs/>
                <w:sz w:val="16"/>
                <w:lang w:val="pl-PL"/>
              </w:rPr>
              <w:t>Ministra Pracy i Polityki Społecznej z dnia 31 maja 2003 r. w sprawie zasadniczych wymagań dla środków ochrony indywidualnej (Dz. U. 2003 Nr 80, poz. 725)</w:t>
            </w:r>
            <w:r w:rsidR="00177CF3" w:rsidRPr="009C56A7">
              <w:rPr>
                <w:rFonts w:cs="Arial"/>
                <w:bCs/>
                <w:sz w:val="16"/>
                <w:lang w:val="pl-PL"/>
              </w:rPr>
              <w:t>, z późniejszymi zmianami</w:t>
            </w:r>
          </w:p>
          <w:p w:rsidR="00A92400" w:rsidRPr="009C56A7" w:rsidRDefault="00B26227" w:rsidP="00A92400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cs="Arial"/>
                <w:sz w:val="16"/>
                <w:lang w:val="pl-PL" w:eastAsia="en-US"/>
              </w:rPr>
              <w:t xml:space="preserve">ROZPORZĄDZENIE </w:t>
            </w:r>
            <w:r w:rsidR="008E234E" w:rsidRPr="009C56A7">
              <w:rPr>
                <w:rFonts w:cs="Arial"/>
                <w:sz w:val="16"/>
                <w:lang w:val="pl-PL" w:eastAsia="en-US"/>
              </w:rPr>
              <w:t>Ministra Pracy i Polityki Socjalnej z dnia 26 września 1997 r. w sprawie ogólnych przepisów bezpieczeństwa i higieny pracy (Dz. U. 1997 Nr 129, poz. 844) z późniejszymi zmianami</w:t>
            </w:r>
          </w:p>
          <w:p w:rsidR="00C055F2" w:rsidRPr="009C56A7" w:rsidRDefault="00A92400" w:rsidP="00C055F2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>ROZPORZĄDZENIE (WE) NR 1107/2009 z dnia 21 października 2009 r. dotyczące wprowadzania do obrotu środków ochrony roślin i uchylające dyrektywy Rady 79/117/EWG i 91/414/EWG</w:t>
            </w:r>
          </w:p>
          <w:p w:rsidR="00C055F2" w:rsidRPr="009C56A7" w:rsidRDefault="00C055F2" w:rsidP="00C055F2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  <w:t>USTAWA z dnia 8 marca 2013 r. o środkach ochrony roślin (Dz.U. 2013 poz. 455), z późn zm.</w:t>
            </w:r>
          </w:p>
          <w:p w:rsidR="00A92400" w:rsidRPr="009C56A7" w:rsidRDefault="00A92400" w:rsidP="00A92400">
            <w:pPr>
              <w:pStyle w:val="Akapitzlist"/>
              <w:widowControl/>
              <w:autoSpaceDE w:val="0"/>
              <w:autoSpaceDN w:val="0"/>
              <w:adjustRightInd w:val="0"/>
              <w:ind w:left="885"/>
              <w:jc w:val="both"/>
              <w:rPr>
                <w:rFonts w:eastAsiaTheme="minorHAnsi" w:cs="Arial"/>
                <w:bCs/>
                <w:snapToGrid/>
                <w:sz w:val="16"/>
                <w:lang w:val="pl-PL" w:eastAsia="en-US"/>
              </w:rPr>
            </w:pPr>
          </w:p>
          <w:p w:rsidR="008E234E" w:rsidRPr="009C56A7" w:rsidRDefault="008E234E" w:rsidP="00E75F40">
            <w:pPr>
              <w:widowControl/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Arial"/>
                <w:b/>
                <w:bCs/>
                <w:snapToGrid/>
                <w:sz w:val="18"/>
                <w:lang w:val="pl-PL" w:eastAsia="en-US"/>
              </w:rPr>
            </w:pPr>
            <w:r w:rsidRPr="009C56A7">
              <w:rPr>
                <w:rFonts w:eastAsiaTheme="minorHAnsi" w:cs="Arial"/>
                <w:b/>
                <w:bCs/>
                <w:snapToGrid/>
                <w:sz w:val="18"/>
                <w:lang w:val="pl-PL" w:eastAsia="en-US"/>
              </w:rPr>
              <w:t xml:space="preserve">15.2. </w:t>
            </w:r>
            <w:r w:rsidRPr="009C56A7">
              <w:rPr>
                <w:rFonts w:eastAsiaTheme="minorHAnsi" w:cs="Arial"/>
                <w:b/>
                <w:bCs/>
                <w:snapToGrid/>
                <w:sz w:val="18"/>
                <w:lang w:val="pl-PL" w:eastAsia="en-US"/>
              </w:rPr>
              <w:tab/>
              <w:t>Ocena bezpieczeństwa chemicznego</w:t>
            </w:r>
          </w:p>
          <w:p w:rsidR="008E234E" w:rsidRPr="009C56A7" w:rsidRDefault="00E31187" w:rsidP="00E31187">
            <w:pPr>
              <w:widowControl/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rFonts w:eastAsiaTheme="minorHAnsi" w:cs="Arial"/>
                <w:bCs/>
                <w:snapToGrid/>
                <w:sz w:val="18"/>
                <w:lang w:val="pl-PL" w:eastAsia="en-US"/>
              </w:rPr>
            </w:pPr>
            <w:r w:rsidRPr="009C56A7">
              <w:rPr>
                <w:rFonts w:eastAsiaTheme="minorHAnsi" w:cs="Arial"/>
                <w:bCs/>
                <w:snapToGrid/>
                <w:sz w:val="18"/>
                <w:lang w:val="pl-PL" w:eastAsia="en-US"/>
              </w:rPr>
              <w:t>Nie jest wymagana.</w:t>
            </w:r>
          </w:p>
        </w:tc>
      </w:tr>
    </w:tbl>
    <w:p w:rsidR="00CF0DBB" w:rsidRDefault="00CF0DBB">
      <w:pPr>
        <w:rPr>
          <w:lang w:val="fr-FR"/>
        </w:rPr>
      </w:pPr>
    </w:p>
    <w:p w:rsidR="00F64FE2" w:rsidRDefault="00F64FE2">
      <w:pPr>
        <w:rPr>
          <w:lang w:val="fr-FR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E31187" w:rsidRPr="00A03B12" w:rsidTr="00F71B0B">
        <w:trPr>
          <w:trHeight w:val="506"/>
        </w:trPr>
        <w:tc>
          <w:tcPr>
            <w:tcW w:w="10490" w:type="dxa"/>
          </w:tcPr>
          <w:p w:rsidR="00E31187" w:rsidRPr="00A03B12" w:rsidRDefault="001D41CB" w:rsidP="001D41CB">
            <w:pPr>
              <w:pStyle w:val="CWHead"/>
              <w:keepNext/>
              <w:keepLines/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Sekcja </w:t>
            </w:r>
            <w:r w:rsidR="00E31187" w:rsidRPr="00A03B12">
              <w:rPr>
                <w:rFonts w:ascii="Arial" w:hAnsi="Arial" w:cs="Arial"/>
                <w:sz w:val="22"/>
                <w:szCs w:val="22"/>
                <w:lang w:val="pl-PL"/>
              </w:rPr>
              <w:t>16.</w:t>
            </w:r>
            <w:r w:rsidR="00E3118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="00E31187" w:rsidRPr="00A03B12">
              <w:rPr>
                <w:rFonts w:ascii="Arial" w:hAnsi="Arial" w:cs="Arial"/>
                <w:sz w:val="22"/>
                <w:szCs w:val="22"/>
                <w:lang w:val="pl-PL"/>
              </w:rPr>
              <w:t>INNE INFORMACJE</w:t>
            </w:r>
          </w:p>
        </w:tc>
      </w:tr>
      <w:tr w:rsidR="00E31187" w:rsidRPr="000D6A28" w:rsidTr="00F71B0B">
        <w:tc>
          <w:tcPr>
            <w:tcW w:w="10490" w:type="dxa"/>
          </w:tcPr>
          <w:p w:rsidR="00A92400" w:rsidRPr="009C56A7" w:rsidRDefault="00A92400" w:rsidP="00A92400">
            <w:pPr>
              <w:pStyle w:val="BodyText31"/>
              <w:spacing w:after="6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 w:rsidRPr="009C56A7">
              <w:rPr>
                <w:rFonts w:ascii="Arial" w:hAnsi="Arial" w:cs="Arial"/>
                <w:bCs/>
                <w:i w:val="0"/>
                <w:sz w:val="18"/>
                <w:u w:val="single"/>
              </w:rPr>
              <w:t>Zmiany wprowadzone przy aktualizacji Karty:</w:t>
            </w:r>
          </w:p>
          <w:p w:rsidR="00A92400" w:rsidRPr="009C56A7" w:rsidRDefault="00A92400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8"/>
              </w:rPr>
            </w:pPr>
            <w:r w:rsidRPr="009C56A7">
              <w:rPr>
                <w:rFonts w:ascii="Arial" w:hAnsi="Arial" w:cs="Arial"/>
                <w:bCs/>
                <w:i w:val="0"/>
                <w:sz w:val="18"/>
              </w:rPr>
              <w:t>Nie dotyczy – karta sporządzona wg REACH</w:t>
            </w:r>
            <w:r w:rsidR="000D6A28">
              <w:rPr>
                <w:rFonts w:ascii="Arial" w:hAnsi="Arial" w:cs="Arial"/>
                <w:bCs/>
                <w:i w:val="0"/>
                <w:sz w:val="18"/>
              </w:rPr>
              <w:t>, poprawiono nazwę substancji – Sekcja1</w:t>
            </w:r>
            <w:bookmarkStart w:id="0" w:name="_GoBack"/>
            <w:bookmarkEnd w:id="0"/>
          </w:p>
          <w:p w:rsidR="00A92400" w:rsidRPr="009C56A7" w:rsidRDefault="00A92400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0"/>
                <w:szCs w:val="10"/>
              </w:rPr>
            </w:pPr>
          </w:p>
          <w:p w:rsidR="00A92400" w:rsidRPr="009C56A7" w:rsidRDefault="00A92400" w:rsidP="00A92400">
            <w:pPr>
              <w:pStyle w:val="BodyText31"/>
              <w:spacing w:after="6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 w:rsidRPr="009C56A7">
              <w:rPr>
                <w:rFonts w:ascii="Arial" w:hAnsi="Arial" w:cs="Arial"/>
                <w:bCs/>
                <w:i w:val="0"/>
                <w:sz w:val="18"/>
                <w:u w:val="single"/>
              </w:rPr>
              <w:t>Źródła danych, na podstawie których opracowano Kartę:</w:t>
            </w:r>
          </w:p>
          <w:p w:rsidR="00A92400" w:rsidRPr="009C56A7" w:rsidRDefault="00A92400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8"/>
              </w:rPr>
            </w:pPr>
            <w:r w:rsidRPr="009C56A7">
              <w:rPr>
                <w:rFonts w:ascii="Arial" w:hAnsi="Arial" w:cs="Arial"/>
                <w:bCs/>
                <w:i w:val="0"/>
                <w:sz w:val="18"/>
              </w:rPr>
              <w:t>Karta została opracowana na podstawie badań własnych producenta, informacji dostarczonych przez producentów substancji składowych formulacji oraz danych dotyczących składników formulacji dostępnych na poziomie europejskim.</w:t>
            </w:r>
          </w:p>
          <w:p w:rsidR="00A92400" w:rsidRPr="009C56A7" w:rsidRDefault="00A92400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0"/>
                <w:szCs w:val="10"/>
              </w:rPr>
            </w:pPr>
          </w:p>
          <w:p w:rsidR="00A92400" w:rsidRPr="004F7512" w:rsidRDefault="00C819F2" w:rsidP="006F58CA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>
              <w:rPr>
                <w:rFonts w:ascii="Arial" w:hAnsi="Arial" w:cs="Arial"/>
                <w:bCs/>
                <w:i w:val="0"/>
                <w:sz w:val="18"/>
                <w:u w:val="single"/>
              </w:rPr>
              <w:t>Symbole i zwroty H</w:t>
            </w:r>
            <w:r w:rsidR="00A92400" w:rsidRPr="009C56A7">
              <w:rPr>
                <w:rFonts w:ascii="Arial" w:hAnsi="Arial" w:cs="Arial"/>
                <w:bCs/>
                <w:i w:val="0"/>
                <w:sz w:val="18"/>
                <w:u w:val="single"/>
              </w:rPr>
              <w:t xml:space="preserve"> użyte w Sekcji 3. a niewyjaśnione w Sekcji 2.:</w:t>
            </w:r>
          </w:p>
          <w:p w:rsidR="00C819F2" w:rsidRDefault="00B20B71" w:rsidP="00AD0BCE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/>
                <w:bCs/>
                <w:i w:val="0"/>
                <w:sz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</w:rPr>
              <w:t>H400</w:t>
            </w:r>
            <w:r>
              <w:t xml:space="preserve"> </w:t>
            </w:r>
            <w:r w:rsidRPr="00B20B71">
              <w:rPr>
                <w:rFonts w:ascii="Arial" w:hAnsi="Arial" w:cs="Arial"/>
                <w:bCs/>
                <w:i w:val="0"/>
                <w:sz w:val="18"/>
              </w:rPr>
              <w:t>Działa bardzo toksycznie na organizmy wodne.</w:t>
            </w:r>
          </w:p>
          <w:p w:rsidR="00B20B71" w:rsidRDefault="00B20B71" w:rsidP="00AD0BCE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/>
                <w:bCs/>
                <w:i w:val="0"/>
                <w:sz w:val="18"/>
              </w:rPr>
            </w:pPr>
            <w:r>
              <w:rPr>
                <w:rFonts w:ascii="Arial" w:hAnsi="Arial" w:cs="Arial"/>
                <w:b/>
                <w:bCs/>
                <w:i w:val="0"/>
                <w:sz w:val="18"/>
              </w:rPr>
              <w:t>H411</w:t>
            </w:r>
            <w:r>
              <w:t xml:space="preserve"> </w:t>
            </w:r>
            <w:r w:rsidRPr="00B20B71">
              <w:rPr>
                <w:rFonts w:ascii="Arial" w:hAnsi="Arial" w:cs="Arial"/>
                <w:bCs/>
                <w:i w:val="0"/>
                <w:sz w:val="18"/>
              </w:rPr>
              <w:t>Działa toksycznie na organizmy wodne, powodując długotrwałe skutki.</w:t>
            </w:r>
          </w:p>
          <w:p w:rsidR="00C819F2" w:rsidRPr="009C56A7" w:rsidRDefault="00C819F2" w:rsidP="00AD0BCE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/>
                <w:bCs/>
                <w:i w:val="0"/>
                <w:sz w:val="18"/>
              </w:rPr>
            </w:pPr>
          </w:p>
          <w:p w:rsidR="001F261F" w:rsidRDefault="001F261F" w:rsidP="001F261F">
            <w:pPr>
              <w:pStyle w:val="BodyText31"/>
              <w:autoSpaceDE/>
              <w:autoSpaceDN/>
              <w:adjustRightInd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 w:rsidRPr="009C56A7">
              <w:rPr>
                <w:rFonts w:ascii="Arial" w:hAnsi="Arial" w:cs="Arial"/>
                <w:bCs/>
                <w:i w:val="0"/>
                <w:sz w:val="18"/>
                <w:u w:val="single"/>
              </w:rPr>
              <w:t xml:space="preserve">Opis użytych skrótów, akronimów i symboli: </w:t>
            </w:r>
          </w:p>
          <w:p w:rsidR="00C819F2" w:rsidRDefault="00C819F2" w:rsidP="007C360C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i w:val="0"/>
                <w:sz w:val="18"/>
              </w:rPr>
              <w:t>Aquatic Chronic</w:t>
            </w:r>
            <w:r w:rsidRPr="00C819F2">
              <w:rPr>
                <w:rFonts w:ascii="Arial" w:hAnsi="Arial" w:cs="Arial"/>
                <w:i w:val="0"/>
                <w:sz w:val="18"/>
              </w:rPr>
              <w:t xml:space="preserve"> – zagrożenie dla środowiska wodnego chroniczne</w:t>
            </w:r>
          </w:p>
          <w:p w:rsidR="007C360C" w:rsidRDefault="007C360C" w:rsidP="007C360C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i w:val="0"/>
                <w:sz w:val="18"/>
              </w:rPr>
            </w:pPr>
            <w:r w:rsidRPr="007C360C">
              <w:rPr>
                <w:rFonts w:ascii="Arial" w:hAnsi="Arial" w:cs="Arial"/>
                <w:b/>
                <w:i w:val="0"/>
                <w:sz w:val="18"/>
              </w:rPr>
              <w:t>Acute Tox.</w:t>
            </w:r>
            <w:r>
              <w:rPr>
                <w:rFonts w:ascii="Arial" w:hAnsi="Arial" w:cs="Arial"/>
                <w:i w:val="0"/>
                <w:sz w:val="18"/>
              </w:rPr>
              <w:t xml:space="preserve"> – toksyczność ostra</w:t>
            </w:r>
          </w:p>
          <w:p w:rsidR="007C360C" w:rsidRDefault="007C360C" w:rsidP="007C360C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i w:val="0"/>
                <w:sz w:val="18"/>
              </w:rPr>
            </w:pP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i w:val="0"/>
                <w:sz w:val="18"/>
              </w:rPr>
              <w:t>WE</w:t>
            </w:r>
            <w:r w:rsidRPr="00C819F2">
              <w:rPr>
                <w:rFonts w:ascii="Arial" w:hAnsi="Arial" w:cs="Arial"/>
                <w:i w:val="0"/>
                <w:sz w:val="18"/>
              </w:rPr>
              <w:t xml:space="preserve"> - oznacza numer przypisany substancji chemicznej w Europejskim Wykazie Istniejących Substancji o Znaczeniu Komercyjnym (EINECS – ang. European Inventory of Existing Chemical Substances), lub numer przypisany substancji w Europejskim Wykazie Notyfikowanych Substancji Chemicznych (ELINCS – ang. European List of Notified Chemical Substances), lub numer w wykazie substancji chemicznych wymienionych w publikacji "No-longer polymers".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i w:val="0"/>
                <w:sz w:val="18"/>
              </w:rPr>
              <w:t>CAS</w:t>
            </w:r>
            <w:r w:rsidRPr="00C819F2">
              <w:rPr>
                <w:rFonts w:ascii="Arial" w:hAnsi="Arial" w:cs="Arial"/>
                <w:i w:val="0"/>
                <w:sz w:val="18"/>
              </w:rPr>
              <w:t xml:space="preserve"> - to oznaczenie numeryczne przypisane substancji chemicznej przez amerykańską organizację Chemical Abstracts Service (CAS), pozwalające na identyfikację substancji chemicznej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i w:val="0"/>
                <w:sz w:val="18"/>
              </w:rPr>
              <w:lastRenderedPageBreak/>
              <w:t>NDS</w:t>
            </w:r>
            <w:r w:rsidRPr="00C819F2">
              <w:rPr>
                <w:rFonts w:ascii="Arial" w:hAnsi="Arial" w:cs="Arial"/>
                <w:i w:val="0"/>
                <w:sz w:val="18"/>
              </w:rPr>
              <w:t xml:space="preserve"> - najwyższe dopuszczalne stężenie; wartość średnia ważona stężenia, którego oddziaływanie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C819F2">
              <w:rPr>
                <w:rFonts w:ascii="Arial" w:hAnsi="Arial" w:cs="Arial"/>
                <w:i w:val="0"/>
                <w:sz w:val="18"/>
              </w:rPr>
              <w:t>na pracownika w ciągu 8-godzinnego dobowego i przeciętnego tygodniowego wymiaru czasu pracy,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C819F2">
              <w:rPr>
                <w:rFonts w:ascii="Arial" w:hAnsi="Arial" w:cs="Arial"/>
                <w:i w:val="0"/>
                <w:sz w:val="18"/>
              </w:rPr>
              <w:t>określonego w Kodeksie pracy, przez okres jego aktywności zawodowej nie powinno spowodować ujemnych zmian w jego stanie zdrowia oraz w stanie zdrowia jego przyszłych pokoleń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b/>
                <w:bCs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bCs/>
                <w:i w:val="0"/>
                <w:sz w:val="18"/>
              </w:rPr>
              <w:t xml:space="preserve">NDSCh </w:t>
            </w:r>
            <w:r w:rsidRPr="00C819F2">
              <w:rPr>
                <w:rFonts w:ascii="Arial" w:hAnsi="Arial" w:cs="Arial"/>
                <w:bCs/>
                <w:i w:val="0"/>
                <w:sz w:val="18"/>
              </w:rPr>
              <w:t>- najwyższe dopuszczalne stężenie chwilowe - wartość średnia stężenia określonego, toksycznego związku chemicznego, które nie powinno spowodować ujemnych zmian w stanie zdrowia pracownika, jeżeli występuje w środowisku pracy nie dłużej niż 15 minut i nie częściej niż 2 razy w czasie zmiany roboczej w odstępie czasu nie krótszym niż 1 godzina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bCs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bCs/>
                <w:i w:val="0"/>
                <w:sz w:val="18"/>
              </w:rPr>
              <w:t xml:space="preserve">NDSP - </w:t>
            </w:r>
            <w:r w:rsidRPr="00C819F2">
              <w:rPr>
                <w:rFonts w:ascii="Arial" w:hAnsi="Arial" w:cs="Arial"/>
                <w:bCs/>
                <w:i w:val="0"/>
                <w:sz w:val="18"/>
              </w:rPr>
              <w:t>wartość stężenia toksycznego związku chemicznego, która ze względu na zagrożenie zdrowia lub życia pracownika nie może być w środowisku pracy przekroczona w żadnym momencie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b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i w:val="0"/>
                <w:sz w:val="18"/>
              </w:rPr>
              <w:t>LC</w:t>
            </w:r>
            <w:r w:rsidRPr="00C819F2">
              <w:rPr>
                <w:rFonts w:ascii="Arial" w:hAnsi="Arial" w:cs="Arial"/>
                <w:b/>
                <w:i w:val="0"/>
                <w:sz w:val="18"/>
                <w:vertAlign w:val="subscript"/>
              </w:rPr>
              <w:t>50</w:t>
            </w:r>
            <w:r w:rsidRPr="00C819F2">
              <w:rPr>
                <w:rFonts w:ascii="Arial" w:hAnsi="Arial" w:cs="Arial"/>
                <w:b/>
                <w:i w:val="0"/>
                <w:sz w:val="18"/>
              </w:rPr>
              <w:t xml:space="preserve">  - </w:t>
            </w:r>
            <w:r w:rsidRPr="00C819F2">
              <w:rPr>
                <w:rFonts w:ascii="Arial" w:hAnsi="Arial" w:cs="Arial"/>
                <w:i w:val="0"/>
                <w:sz w:val="18"/>
              </w:rPr>
              <w:t>Dawka śmiertelna medialna: statystycznie obliczona na podstawie badań doświadczalnych ilość substancji chemicznej, która powoduje śmierć 50% organizmów badanych po jej podaniu w określonych warunkach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i w:val="0"/>
                <w:sz w:val="18"/>
              </w:rPr>
              <w:t>LD50 – (</w:t>
            </w:r>
            <w:r w:rsidRPr="00C819F2">
              <w:rPr>
                <w:rFonts w:ascii="Arial" w:hAnsi="Arial" w:cs="Arial"/>
                <w:i w:val="0"/>
                <w:sz w:val="18"/>
              </w:rPr>
              <w:t>Lethal Dose) dawka substancji, obliczana w miligramach na kilogram masy ciała, potrzebnej do uśmiercenia 50% badanej populacji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b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i w:val="0"/>
                <w:sz w:val="18"/>
              </w:rPr>
              <w:t xml:space="preserve">PBT - </w:t>
            </w:r>
            <w:r w:rsidRPr="00C819F2">
              <w:rPr>
                <w:rFonts w:ascii="Arial" w:hAnsi="Arial" w:cs="Arial"/>
                <w:i w:val="0"/>
                <w:sz w:val="18"/>
              </w:rPr>
              <w:t>współczynnik określający czy substancja jest trwała, ulegająca bioakumulacji i toksyczna</w:t>
            </w:r>
          </w:p>
          <w:p w:rsidR="00C819F2" w:rsidRPr="00C819F2" w:rsidRDefault="00C819F2" w:rsidP="00C819F2">
            <w:pPr>
              <w:pStyle w:val="BodyText31"/>
              <w:rPr>
                <w:rFonts w:ascii="Arial" w:hAnsi="Arial" w:cs="Arial"/>
                <w:b/>
                <w:i w:val="0"/>
                <w:sz w:val="18"/>
              </w:rPr>
            </w:pPr>
            <w:r w:rsidRPr="00C819F2">
              <w:rPr>
                <w:rFonts w:ascii="Arial" w:hAnsi="Arial" w:cs="Arial"/>
                <w:b/>
                <w:i w:val="0"/>
                <w:sz w:val="18"/>
              </w:rPr>
              <w:t xml:space="preserve">vPvB - </w:t>
            </w:r>
            <w:r w:rsidRPr="00C819F2">
              <w:rPr>
                <w:rFonts w:ascii="Arial" w:hAnsi="Arial" w:cs="Arial"/>
                <w:i w:val="0"/>
                <w:sz w:val="18"/>
              </w:rPr>
              <w:t>współczynnik określający czy substancja jest bardzo trwała i ulegająca bioakumulacji w bardzo dużym stopniu</w:t>
            </w:r>
          </w:p>
          <w:p w:rsidR="00C819F2" w:rsidRPr="00C819F2" w:rsidRDefault="00C819F2" w:rsidP="001F261F">
            <w:pPr>
              <w:pStyle w:val="BodyText31"/>
              <w:autoSpaceDE/>
              <w:autoSpaceDN/>
              <w:adjustRightInd/>
              <w:rPr>
                <w:rFonts w:ascii="Arial" w:hAnsi="Arial" w:cs="Arial"/>
                <w:i w:val="0"/>
                <w:sz w:val="18"/>
              </w:rPr>
            </w:pPr>
          </w:p>
          <w:p w:rsidR="000048B3" w:rsidRPr="009C56A7" w:rsidRDefault="000048B3" w:rsidP="00C819F2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i w:val="0"/>
                <w:sz w:val="18"/>
              </w:rPr>
            </w:pPr>
          </w:p>
        </w:tc>
      </w:tr>
    </w:tbl>
    <w:p w:rsidR="005076B4" w:rsidRDefault="005076B4" w:rsidP="00F71B0B">
      <w:pPr>
        <w:pBdr>
          <w:top w:val="single" w:sz="4" w:space="1" w:color="auto"/>
        </w:pBdr>
        <w:spacing w:before="60"/>
        <w:ind w:left="-142"/>
        <w:jc w:val="both"/>
        <w:rPr>
          <w:rFonts w:cs="Arial"/>
          <w:sz w:val="16"/>
          <w:szCs w:val="19"/>
          <w:lang w:val="pl-PL"/>
        </w:rPr>
      </w:pPr>
    </w:p>
    <w:p w:rsidR="00E31187" w:rsidRPr="000048B3" w:rsidRDefault="000048B3" w:rsidP="00F71B0B">
      <w:pPr>
        <w:spacing w:before="60"/>
        <w:ind w:left="-142"/>
        <w:jc w:val="both"/>
        <w:rPr>
          <w:lang w:val="pl-PL"/>
        </w:rPr>
      </w:pPr>
      <w:r w:rsidRPr="000048B3">
        <w:rPr>
          <w:rFonts w:cs="Arial"/>
          <w:sz w:val="16"/>
          <w:szCs w:val="19"/>
          <w:lang w:val="pl-PL"/>
        </w:rPr>
        <w:t>Dane zawarte w niniejszej Karcie Charakterystyki oparte są na aktualnym stanie wiedzy i dotyczą produktu w postaci w jakiej jest stosowany. Dane te są przeznaczone wyłącznie jako pomoc w bezpiecznym postępowaniu, transporcie, stosowaniu, k</w:t>
      </w:r>
      <w:r w:rsidR="00B26227">
        <w:rPr>
          <w:rFonts w:cs="Arial"/>
          <w:sz w:val="16"/>
          <w:szCs w:val="19"/>
          <w:lang w:val="pl-PL"/>
        </w:rPr>
        <w:t xml:space="preserve">onfekcjonowaniu, przechowywaniu i postępowaniu z odpadami </w:t>
      </w:r>
      <w:r w:rsidRPr="000048B3">
        <w:rPr>
          <w:rFonts w:cs="Arial"/>
          <w:sz w:val="16"/>
          <w:szCs w:val="19"/>
          <w:lang w:val="pl-PL"/>
        </w:rPr>
        <w:t>i nie należy ich utożsamiać z gwarancją lub atestem jakościowym. Użytkownik ponosi odpowiedzialność wynikłą z niewłaściwego wykorzystania informacji zawartych w Karcie lub niewłaściwego zastosowania produktu.</w:t>
      </w:r>
    </w:p>
    <w:sectPr w:rsidR="00E31187" w:rsidRPr="000048B3" w:rsidSect="00F71B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134" w:header="426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37" w:rsidRDefault="00987F37" w:rsidP="00D12377">
      <w:r>
        <w:separator/>
      </w:r>
    </w:p>
  </w:endnote>
  <w:endnote w:type="continuationSeparator" w:id="0">
    <w:p w:rsidR="00987F37" w:rsidRDefault="00987F37" w:rsidP="00D1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A5" w:rsidRDefault="00947DA5" w:rsidP="002B45E8">
    <w:pPr>
      <w:pStyle w:val="Stopka"/>
      <w:pBdr>
        <w:top w:val="single" w:sz="4" w:space="1" w:color="auto"/>
      </w:pBdr>
      <w:spacing w:before="120"/>
      <w:jc w:val="right"/>
      <w:rPr>
        <w:rFonts w:cs="Arial"/>
        <w:sz w:val="18"/>
      </w:rPr>
    </w:pPr>
    <w:r>
      <w:rPr>
        <w:rFonts w:cs="Arial"/>
        <w:sz w:val="18"/>
      </w:rPr>
      <w:t>s</w:t>
    </w:r>
    <w:r w:rsidRPr="00D12377">
      <w:rPr>
        <w:rFonts w:cs="Arial"/>
        <w:sz w:val="18"/>
        <w:lang w:val="pl-PL"/>
      </w:rPr>
      <w:t xml:space="preserve">trona </w:t>
    </w:r>
    <w:r w:rsidRPr="001D41CB">
      <w:rPr>
        <w:rFonts w:cs="Arial"/>
        <w:sz w:val="18"/>
      </w:rPr>
      <w:fldChar w:fldCharType="begin"/>
    </w:r>
    <w:r w:rsidRPr="001D41CB">
      <w:rPr>
        <w:rFonts w:cs="Arial"/>
        <w:sz w:val="18"/>
      </w:rPr>
      <w:instrText>PAGE  \* Arabic  \* MERGEFORMAT</w:instrText>
    </w:r>
    <w:r w:rsidRPr="001D41CB">
      <w:rPr>
        <w:rFonts w:cs="Arial"/>
        <w:sz w:val="18"/>
      </w:rPr>
      <w:fldChar w:fldCharType="separate"/>
    </w:r>
    <w:r w:rsidR="000D6A28">
      <w:rPr>
        <w:rFonts w:cs="Arial"/>
        <w:noProof/>
        <w:sz w:val="18"/>
      </w:rPr>
      <w:t>7</w:t>
    </w:r>
    <w:r w:rsidRPr="001D41CB">
      <w:rPr>
        <w:rFonts w:cs="Arial"/>
        <w:sz w:val="18"/>
      </w:rPr>
      <w:fldChar w:fldCharType="end"/>
    </w:r>
    <w:r w:rsidRPr="001D41CB">
      <w:rPr>
        <w:rFonts w:cs="Arial"/>
        <w:sz w:val="18"/>
      </w:rPr>
      <w:t xml:space="preserve"> /</w:t>
    </w:r>
    <w:r w:rsidRPr="001D41CB">
      <w:rPr>
        <w:rFonts w:cs="Arial"/>
        <w:sz w:val="18"/>
        <w:lang w:val="pl-PL"/>
      </w:rPr>
      <w:t xml:space="preserve"> </w:t>
    </w:r>
    <w:r w:rsidRPr="001D41CB">
      <w:rPr>
        <w:rFonts w:cs="Arial"/>
        <w:sz w:val="18"/>
      </w:rPr>
      <w:fldChar w:fldCharType="begin"/>
    </w:r>
    <w:r w:rsidRPr="001D41CB">
      <w:rPr>
        <w:rFonts w:cs="Arial"/>
        <w:sz w:val="18"/>
      </w:rPr>
      <w:instrText>NUMPAGES  \* Arabic  \* MERGEFORMAT</w:instrText>
    </w:r>
    <w:r w:rsidRPr="001D41CB">
      <w:rPr>
        <w:rFonts w:cs="Arial"/>
        <w:sz w:val="18"/>
      </w:rPr>
      <w:fldChar w:fldCharType="separate"/>
    </w:r>
    <w:r w:rsidR="000D6A28">
      <w:rPr>
        <w:rFonts w:cs="Arial"/>
        <w:noProof/>
        <w:sz w:val="18"/>
      </w:rPr>
      <w:t>8</w:t>
    </w:r>
    <w:r w:rsidRPr="001D41CB">
      <w:rPr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A5" w:rsidRPr="005076B4" w:rsidRDefault="00947DA5" w:rsidP="005076B4">
    <w:pPr>
      <w:pStyle w:val="Stopka"/>
      <w:pBdr>
        <w:top w:val="single" w:sz="4" w:space="1" w:color="auto"/>
      </w:pBdr>
      <w:jc w:val="right"/>
      <w:rPr>
        <w:sz w:val="18"/>
      </w:rPr>
    </w:pPr>
    <w:r w:rsidRPr="005076B4">
      <w:rPr>
        <w:sz w:val="18"/>
        <w:lang w:val="pl-PL"/>
      </w:rPr>
      <w:t xml:space="preserve">strona </w:t>
    </w:r>
    <w:r w:rsidRPr="005076B4">
      <w:rPr>
        <w:sz w:val="18"/>
      </w:rPr>
      <w:fldChar w:fldCharType="begin"/>
    </w:r>
    <w:r w:rsidRPr="005076B4">
      <w:rPr>
        <w:sz w:val="18"/>
      </w:rPr>
      <w:instrText>PAGE  \* Arabic  \* MERGEFORMAT</w:instrText>
    </w:r>
    <w:r w:rsidRPr="005076B4">
      <w:rPr>
        <w:sz w:val="18"/>
      </w:rPr>
      <w:fldChar w:fldCharType="separate"/>
    </w:r>
    <w:r w:rsidR="000D6A28" w:rsidRPr="000D6A28">
      <w:rPr>
        <w:noProof/>
        <w:sz w:val="18"/>
        <w:lang w:val="pl-PL"/>
      </w:rPr>
      <w:t>1</w:t>
    </w:r>
    <w:r w:rsidRPr="005076B4">
      <w:rPr>
        <w:sz w:val="18"/>
      </w:rPr>
      <w:fldChar w:fldCharType="end"/>
    </w:r>
    <w:r w:rsidRPr="005076B4">
      <w:rPr>
        <w:sz w:val="18"/>
        <w:lang w:val="pl-PL"/>
      </w:rPr>
      <w:t xml:space="preserve"> / </w:t>
    </w:r>
    <w:r w:rsidRPr="005076B4">
      <w:rPr>
        <w:sz w:val="18"/>
      </w:rPr>
      <w:fldChar w:fldCharType="begin"/>
    </w:r>
    <w:r w:rsidRPr="005076B4">
      <w:rPr>
        <w:sz w:val="18"/>
      </w:rPr>
      <w:instrText>NUMPAGES  \* Arabic  \* MERGEFORMAT</w:instrText>
    </w:r>
    <w:r w:rsidRPr="005076B4">
      <w:rPr>
        <w:sz w:val="18"/>
      </w:rPr>
      <w:fldChar w:fldCharType="separate"/>
    </w:r>
    <w:r w:rsidR="000D6A28" w:rsidRPr="000D6A28">
      <w:rPr>
        <w:noProof/>
        <w:sz w:val="18"/>
        <w:lang w:val="pl-PL"/>
      </w:rPr>
      <w:t>8</w:t>
    </w:r>
    <w:r w:rsidRPr="005076B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37" w:rsidRDefault="00987F37" w:rsidP="00D12377">
      <w:r>
        <w:separator/>
      </w:r>
    </w:p>
  </w:footnote>
  <w:footnote w:type="continuationSeparator" w:id="0">
    <w:p w:rsidR="00987F37" w:rsidRDefault="00987F37" w:rsidP="00D1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173"/>
      <w:gridCol w:w="3317"/>
    </w:tblGrid>
    <w:tr w:rsidR="00947DA5" w:rsidRPr="00D12377" w:rsidTr="00F3701C">
      <w:trPr>
        <w:trHeight w:val="1135"/>
      </w:trPr>
      <w:tc>
        <w:tcPr>
          <w:tcW w:w="79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47DA5" w:rsidRDefault="00947DA5" w:rsidP="005076B4">
          <w:pPr>
            <w:pStyle w:val="Nagwek"/>
            <w:rPr>
              <w:rFonts w:cs="Arial"/>
              <w:b/>
              <w:noProof/>
              <w:sz w:val="22"/>
              <w:szCs w:val="24"/>
              <w:lang w:val="pl-PL"/>
            </w:rPr>
          </w:pPr>
        </w:p>
        <w:p w:rsidR="00947DA5" w:rsidRPr="005076B4" w:rsidRDefault="00947DA5" w:rsidP="007873CF">
          <w:pPr>
            <w:pStyle w:val="Nagwek"/>
            <w:rPr>
              <w:rFonts w:cs="Arial"/>
              <w:b/>
              <w:noProof/>
              <w:sz w:val="24"/>
              <w:szCs w:val="24"/>
              <w:lang w:val="pl-PL"/>
            </w:rPr>
          </w:pPr>
          <w:r>
            <w:rPr>
              <w:rFonts w:cs="Arial"/>
              <w:b/>
              <w:noProof/>
              <w:sz w:val="22"/>
              <w:szCs w:val="24"/>
              <w:lang w:val="pl-PL"/>
            </w:rPr>
            <w:t xml:space="preserve">Karta Charakterystyki – </w:t>
          </w:r>
          <w:r w:rsidR="007873CF">
            <w:rPr>
              <w:rFonts w:cs="Arial"/>
              <w:b/>
              <w:bCs/>
              <w:noProof/>
              <w:sz w:val="24"/>
              <w:szCs w:val="24"/>
              <w:lang w:val="pl-PL"/>
            </w:rPr>
            <w:t>HENIK</w:t>
          </w:r>
          <w:r w:rsidR="000D6A28">
            <w:rPr>
              <w:rFonts w:cs="Arial"/>
              <w:b/>
              <w:bCs/>
              <w:noProof/>
              <w:sz w:val="24"/>
              <w:szCs w:val="24"/>
              <w:lang w:val="pl-PL"/>
            </w:rPr>
            <w:t xml:space="preserve"> EX</w:t>
          </w:r>
          <w:r w:rsidR="00373EE6">
            <w:rPr>
              <w:rFonts w:cs="Arial"/>
              <w:b/>
              <w:bCs/>
              <w:noProof/>
              <w:sz w:val="24"/>
              <w:szCs w:val="24"/>
              <w:lang w:val="pl-PL"/>
            </w:rPr>
            <w:t>TRA 040 OD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47DA5" w:rsidRPr="00D12377" w:rsidRDefault="00A91766">
          <w:pPr>
            <w:pStyle w:val="Nagwek"/>
            <w:jc w:val="right"/>
            <w:rPr>
              <w:rFonts w:cs="Arial"/>
              <w:b/>
              <w:noProof/>
              <w:sz w:val="24"/>
              <w:szCs w:val="24"/>
              <w:lang w:val="pl-PL"/>
            </w:rPr>
          </w:pPr>
          <w:r>
            <w:rPr>
              <w:rFonts w:cs="Arial"/>
              <w:b/>
              <w:noProof/>
              <w:sz w:val="24"/>
              <w:szCs w:val="24"/>
              <w:lang w:val="pl-PL"/>
            </w:rPr>
            <w:drawing>
              <wp:inline distT="0" distB="0" distL="0" distR="0" wp14:anchorId="0433E0F8" wp14:editId="554A3660">
                <wp:extent cx="1969135" cy="6464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47DA5" w:rsidRDefault="00947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173"/>
      <w:gridCol w:w="3317"/>
    </w:tblGrid>
    <w:tr w:rsidR="00947DA5" w:rsidRPr="00D12377" w:rsidTr="005F4AA6">
      <w:tc>
        <w:tcPr>
          <w:tcW w:w="80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47DA5" w:rsidRPr="00D12377" w:rsidRDefault="00947DA5" w:rsidP="00AF1BB5">
          <w:pPr>
            <w:pStyle w:val="Nagwek"/>
            <w:rPr>
              <w:rFonts w:cs="Arial"/>
              <w:b/>
              <w:noProof/>
              <w:sz w:val="22"/>
              <w:szCs w:val="24"/>
              <w:lang w:val="pl-PL"/>
            </w:rPr>
          </w:pPr>
          <w:r w:rsidRPr="00D12377">
            <w:rPr>
              <w:rFonts w:cs="Arial"/>
              <w:b/>
              <w:noProof/>
              <w:sz w:val="22"/>
              <w:szCs w:val="24"/>
              <w:lang w:val="pl-PL"/>
            </w:rPr>
            <w:t>KARTA CHARAKTERYSTYKI</w:t>
          </w:r>
        </w:p>
        <w:p w:rsidR="00947DA5" w:rsidRPr="00D12377" w:rsidRDefault="00947DA5" w:rsidP="00AF1BB5">
          <w:pPr>
            <w:pStyle w:val="Nagwek"/>
            <w:rPr>
              <w:rFonts w:cs="Arial"/>
              <w:sz w:val="14"/>
              <w:szCs w:val="14"/>
              <w:lang w:val="pl-PL"/>
            </w:rPr>
          </w:pPr>
          <w:r w:rsidRPr="00D12377">
            <w:rPr>
              <w:rFonts w:cs="Arial"/>
              <w:sz w:val="14"/>
              <w:szCs w:val="14"/>
              <w:lang w:val="pl-PL"/>
            </w:rPr>
            <w:t>zgodna z wymogami Rozporządzenia (WE) nr 1907/2006 Parlamentu Europejskiego i Rady z dnia 18 grudnia 2006 w sprawie REACH (Dziennik Urzędowy Unii Europejskiej L 396 z późniejszymi zmianami)</w:t>
          </w:r>
        </w:p>
        <w:p w:rsidR="00947DA5" w:rsidRPr="00D12377" w:rsidRDefault="00947DA5" w:rsidP="00AF1BB5">
          <w:pPr>
            <w:pStyle w:val="Nagwek"/>
            <w:rPr>
              <w:rFonts w:cs="Arial"/>
              <w:noProof/>
              <w:sz w:val="18"/>
              <w:szCs w:val="24"/>
              <w:lang w:val="pl-PL"/>
            </w:rPr>
          </w:pPr>
        </w:p>
        <w:p w:rsidR="00661729" w:rsidRDefault="007873CF" w:rsidP="00AF1BB5">
          <w:pPr>
            <w:pStyle w:val="Nagwek"/>
            <w:rPr>
              <w:rFonts w:cs="Arial"/>
              <w:b/>
              <w:bCs/>
              <w:noProof/>
              <w:sz w:val="24"/>
              <w:szCs w:val="24"/>
              <w:lang w:val="pl-PL"/>
            </w:rPr>
          </w:pPr>
          <w:r>
            <w:rPr>
              <w:rFonts w:cs="Arial"/>
              <w:b/>
              <w:bCs/>
              <w:noProof/>
              <w:sz w:val="24"/>
              <w:szCs w:val="24"/>
              <w:lang w:val="pl-PL"/>
            </w:rPr>
            <w:t>HENIK</w:t>
          </w:r>
          <w:r w:rsidR="000D6A28">
            <w:rPr>
              <w:rFonts w:cs="Arial"/>
              <w:b/>
              <w:bCs/>
              <w:noProof/>
              <w:sz w:val="24"/>
              <w:szCs w:val="24"/>
              <w:lang w:val="pl-PL"/>
            </w:rPr>
            <w:t xml:space="preserve"> EX</w:t>
          </w:r>
          <w:r w:rsidR="00373EE6">
            <w:rPr>
              <w:rFonts w:cs="Arial"/>
              <w:b/>
              <w:bCs/>
              <w:noProof/>
              <w:sz w:val="24"/>
              <w:szCs w:val="24"/>
              <w:lang w:val="pl-PL"/>
            </w:rPr>
            <w:t>TRA 040 OD</w:t>
          </w:r>
        </w:p>
        <w:p w:rsidR="00947DA5" w:rsidRDefault="0001072C" w:rsidP="00AF1BB5">
          <w:pPr>
            <w:pStyle w:val="Nagwek"/>
            <w:rPr>
              <w:rFonts w:cs="Arial"/>
              <w:noProof/>
              <w:sz w:val="16"/>
              <w:szCs w:val="24"/>
              <w:lang w:val="pl-PL"/>
            </w:rPr>
          </w:pPr>
          <w:r>
            <w:rPr>
              <w:rFonts w:cs="Arial"/>
              <w:noProof/>
              <w:sz w:val="16"/>
              <w:szCs w:val="24"/>
              <w:lang w:val="pl-PL"/>
            </w:rPr>
            <w:t xml:space="preserve">Data opracowania: </w:t>
          </w:r>
          <w:r w:rsidR="00373EE6">
            <w:rPr>
              <w:rFonts w:cs="Arial"/>
              <w:noProof/>
              <w:sz w:val="16"/>
              <w:szCs w:val="24"/>
              <w:lang w:val="pl-PL"/>
            </w:rPr>
            <w:t>21</w:t>
          </w:r>
          <w:r>
            <w:rPr>
              <w:rFonts w:cs="Arial"/>
              <w:noProof/>
              <w:sz w:val="16"/>
              <w:szCs w:val="24"/>
              <w:lang w:val="pl-PL"/>
            </w:rPr>
            <w:t>.03.2018</w:t>
          </w:r>
        </w:p>
        <w:p w:rsidR="000D6A28" w:rsidRPr="005076B4" w:rsidRDefault="000D6A28" w:rsidP="00AF1BB5">
          <w:pPr>
            <w:pStyle w:val="Nagwek"/>
            <w:rPr>
              <w:rFonts w:cs="Arial"/>
              <w:noProof/>
              <w:sz w:val="16"/>
              <w:szCs w:val="24"/>
              <w:lang w:val="pl-PL"/>
            </w:rPr>
          </w:pPr>
          <w:r>
            <w:rPr>
              <w:rFonts w:cs="Arial"/>
              <w:noProof/>
              <w:sz w:val="16"/>
              <w:szCs w:val="24"/>
              <w:lang w:val="pl-PL"/>
            </w:rPr>
            <w:t>Data aktualizacji: 18.05.2018</w:t>
          </w:r>
        </w:p>
        <w:p w:rsidR="00947DA5" w:rsidRPr="00D12377" w:rsidRDefault="00947DA5" w:rsidP="00F549DC">
          <w:pPr>
            <w:pStyle w:val="Nagwek"/>
            <w:spacing w:after="120"/>
            <w:rPr>
              <w:rFonts w:cs="Arial"/>
              <w:noProof/>
              <w:sz w:val="18"/>
              <w:szCs w:val="24"/>
              <w:lang w:val="pl-PL"/>
            </w:rPr>
          </w:pPr>
          <w:r w:rsidRPr="005076B4">
            <w:rPr>
              <w:rFonts w:cs="Arial"/>
              <w:noProof/>
              <w:sz w:val="16"/>
              <w:szCs w:val="24"/>
              <w:lang w:val="pl-PL"/>
            </w:rPr>
            <w:t>Wersja</w:t>
          </w:r>
          <w:r>
            <w:rPr>
              <w:rFonts w:cs="Arial"/>
              <w:noProof/>
              <w:sz w:val="16"/>
              <w:szCs w:val="24"/>
              <w:lang w:val="pl-PL"/>
            </w:rPr>
            <w:t xml:space="preserve">: </w:t>
          </w:r>
          <w:r w:rsidR="00F549DC">
            <w:rPr>
              <w:rFonts w:cs="Arial"/>
              <w:noProof/>
              <w:sz w:val="16"/>
              <w:szCs w:val="24"/>
              <w:lang w:val="pl-PL"/>
            </w:rPr>
            <w:t>1</w:t>
          </w:r>
          <w:r w:rsidR="000D6A28">
            <w:rPr>
              <w:rFonts w:cs="Arial"/>
              <w:noProof/>
              <w:sz w:val="16"/>
              <w:szCs w:val="24"/>
              <w:lang w:val="pl-PL"/>
            </w:rPr>
            <w:t>.1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47DA5" w:rsidRPr="00D12377" w:rsidRDefault="00A91766" w:rsidP="00AF1BB5">
          <w:pPr>
            <w:pStyle w:val="Nagwek"/>
            <w:jc w:val="right"/>
            <w:rPr>
              <w:rFonts w:cs="Arial"/>
              <w:b/>
              <w:noProof/>
              <w:sz w:val="24"/>
              <w:szCs w:val="24"/>
              <w:lang w:val="pl-PL"/>
            </w:rPr>
          </w:pPr>
          <w:r>
            <w:rPr>
              <w:rFonts w:cs="Arial"/>
              <w:b/>
              <w:noProof/>
              <w:sz w:val="24"/>
              <w:szCs w:val="24"/>
              <w:lang w:val="pl-PL"/>
            </w:rPr>
            <w:drawing>
              <wp:inline distT="0" distB="0" distL="0" distR="0" wp14:anchorId="0433E0F8" wp14:editId="554A3660">
                <wp:extent cx="1969135" cy="646430"/>
                <wp:effectExtent l="0" t="0" r="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47DA5" w:rsidRDefault="00947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6A4"/>
    <w:multiLevelType w:val="multilevel"/>
    <w:tmpl w:val="A9F6C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E5782"/>
    <w:multiLevelType w:val="hybridMultilevel"/>
    <w:tmpl w:val="C910E5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4CF"/>
    <w:multiLevelType w:val="hybridMultilevel"/>
    <w:tmpl w:val="A546D8F8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0CA1"/>
    <w:multiLevelType w:val="hybridMultilevel"/>
    <w:tmpl w:val="4C18BF46"/>
    <w:lvl w:ilvl="0" w:tplc="42DA0C96">
      <w:start w:val="4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35245391"/>
    <w:multiLevelType w:val="hybridMultilevel"/>
    <w:tmpl w:val="70668E38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771D"/>
    <w:multiLevelType w:val="hybridMultilevel"/>
    <w:tmpl w:val="ADBA2962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B081E"/>
    <w:multiLevelType w:val="multilevel"/>
    <w:tmpl w:val="4CB08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849F4"/>
    <w:multiLevelType w:val="multilevel"/>
    <w:tmpl w:val="F7D68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163909"/>
    <w:multiLevelType w:val="hybridMultilevel"/>
    <w:tmpl w:val="BC0E006C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3906"/>
    <w:multiLevelType w:val="hybridMultilevel"/>
    <w:tmpl w:val="AC52313A"/>
    <w:lvl w:ilvl="0" w:tplc="42DA0C96">
      <w:start w:val="4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5F271C12"/>
    <w:multiLevelType w:val="hybridMultilevel"/>
    <w:tmpl w:val="2DBAA0A0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012E8"/>
    <w:multiLevelType w:val="hybridMultilevel"/>
    <w:tmpl w:val="E78CA71E"/>
    <w:lvl w:ilvl="0" w:tplc="3BAA7C7E">
      <w:numFmt w:val="bullet"/>
      <w:lvlText w:val="-"/>
      <w:lvlJc w:val="left"/>
      <w:pPr>
        <w:ind w:left="754" w:hanging="360"/>
      </w:p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01D7B66"/>
    <w:multiLevelType w:val="hybridMultilevel"/>
    <w:tmpl w:val="77348E32"/>
    <w:lvl w:ilvl="0" w:tplc="3BAA7C7E">
      <w:numFmt w:val="bullet"/>
      <w:lvlText w:val="-"/>
      <w:lvlJc w:val="left"/>
      <w:pPr>
        <w:ind w:left="1321" w:hanging="360"/>
      </w:p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623007AD"/>
    <w:multiLevelType w:val="hybridMultilevel"/>
    <w:tmpl w:val="70E4404A"/>
    <w:lvl w:ilvl="0" w:tplc="3BAA7C7E">
      <w:numFmt w:val="bullet"/>
      <w:lvlText w:val="-"/>
      <w:lvlJc w:val="left"/>
      <w:pPr>
        <w:ind w:left="754" w:hanging="360"/>
      </w:p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452636B"/>
    <w:multiLevelType w:val="hybridMultilevel"/>
    <w:tmpl w:val="A71A409A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77"/>
    <w:rsid w:val="000048B3"/>
    <w:rsid w:val="0001072C"/>
    <w:rsid w:val="00016B9A"/>
    <w:rsid w:val="00033657"/>
    <w:rsid w:val="000364D4"/>
    <w:rsid w:val="00041515"/>
    <w:rsid w:val="000437C1"/>
    <w:rsid w:val="000552C5"/>
    <w:rsid w:val="00055857"/>
    <w:rsid w:val="00064AFC"/>
    <w:rsid w:val="00070502"/>
    <w:rsid w:val="00083E34"/>
    <w:rsid w:val="000879CB"/>
    <w:rsid w:val="000934A0"/>
    <w:rsid w:val="000A1131"/>
    <w:rsid w:val="000D6A28"/>
    <w:rsid w:val="000E7DBE"/>
    <w:rsid w:val="000F2CF0"/>
    <w:rsid w:val="001003A5"/>
    <w:rsid w:val="001101A0"/>
    <w:rsid w:val="0011250C"/>
    <w:rsid w:val="001239C7"/>
    <w:rsid w:val="00134724"/>
    <w:rsid w:val="00155AC0"/>
    <w:rsid w:val="00162941"/>
    <w:rsid w:val="00165CD8"/>
    <w:rsid w:val="00166917"/>
    <w:rsid w:val="00177CF3"/>
    <w:rsid w:val="001960C2"/>
    <w:rsid w:val="001A618F"/>
    <w:rsid w:val="001C4ADA"/>
    <w:rsid w:val="001D2A1F"/>
    <w:rsid w:val="001D41CB"/>
    <w:rsid w:val="001D5130"/>
    <w:rsid w:val="001D614D"/>
    <w:rsid w:val="001E6044"/>
    <w:rsid w:val="001F261F"/>
    <w:rsid w:val="00201796"/>
    <w:rsid w:val="002032D9"/>
    <w:rsid w:val="00216702"/>
    <w:rsid w:val="00223A7E"/>
    <w:rsid w:val="002246C3"/>
    <w:rsid w:val="0023737B"/>
    <w:rsid w:val="00253DB5"/>
    <w:rsid w:val="00260551"/>
    <w:rsid w:val="00277E99"/>
    <w:rsid w:val="00284259"/>
    <w:rsid w:val="002A0822"/>
    <w:rsid w:val="002A603E"/>
    <w:rsid w:val="002A7D3F"/>
    <w:rsid w:val="002B2B38"/>
    <w:rsid w:val="002B45E8"/>
    <w:rsid w:val="002E15AA"/>
    <w:rsid w:val="002E2F6A"/>
    <w:rsid w:val="002E651E"/>
    <w:rsid w:val="002F1AA2"/>
    <w:rsid w:val="002F720D"/>
    <w:rsid w:val="00314F72"/>
    <w:rsid w:val="00373EE6"/>
    <w:rsid w:val="00375950"/>
    <w:rsid w:val="0039196C"/>
    <w:rsid w:val="00393765"/>
    <w:rsid w:val="003B1CB7"/>
    <w:rsid w:val="003C21EE"/>
    <w:rsid w:val="003D29DE"/>
    <w:rsid w:val="0040114D"/>
    <w:rsid w:val="004234C6"/>
    <w:rsid w:val="00426B49"/>
    <w:rsid w:val="0043054C"/>
    <w:rsid w:val="00431F0D"/>
    <w:rsid w:val="0044373D"/>
    <w:rsid w:val="004502CD"/>
    <w:rsid w:val="0045365D"/>
    <w:rsid w:val="0046311B"/>
    <w:rsid w:val="004776AD"/>
    <w:rsid w:val="004840EE"/>
    <w:rsid w:val="004863DE"/>
    <w:rsid w:val="004A1195"/>
    <w:rsid w:val="004B49C1"/>
    <w:rsid w:val="004C7E7C"/>
    <w:rsid w:val="004D4F9C"/>
    <w:rsid w:val="004E187A"/>
    <w:rsid w:val="004E5E93"/>
    <w:rsid w:val="004F7512"/>
    <w:rsid w:val="00501F3E"/>
    <w:rsid w:val="005076B4"/>
    <w:rsid w:val="005125F0"/>
    <w:rsid w:val="0051275D"/>
    <w:rsid w:val="00521108"/>
    <w:rsid w:val="00525EE4"/>
    <w:rsid w:val="00534505"/>
    <w:rsid w:val="0054037E"/>
    <w:rsid w:val="0054205C"/>
    <w:rsid w:val="00552729"/>
    <w:rsid w:val="00560492"/>
    <w:rsid w:val="00561BA1"/>
    <w:rsid w:val="0057020B"/>
    <w:rsid w:val="005750A1"/>
    <w:rsid w:val="005B0095"/>
    <w:rsid w:val="005B4634"/>
    <w:rsid w:val="005C4F71"/>
    <w:rsid w:val="005D1702"/>
    <w:rsid w:val="005E2BEF"/>
    <w:rsid w:val="005E4ED6"/>
    <w:rsid w:val="005F4AA6"/>
    <w:rsid w:val="00613DAD"/>
    <w:rsid w:val="00657D05"/>
    <w:rsid w:val="00661729"/>
    <w:rsid w:val="006907AE"/>
    <w:rsid w:val="00692FF5"/>
    <w:rsid w:val="006A242C"/>
    <w:rsid w:val="006A523A"/>
    <w:rsid w:val="006A5E39"/>
    <w:rsid w:val="006D56F7"/>
    <w:rsid w:val="006E08B9"/>
    <w:rsid w:val="006E2FF4"/>
    <w:rsid w:val="006E7D80"/>
    <w:rsid w:val="006F2A6D"/>
    <w:rsid w:val="006F58CA"/>
    <w:rsid w:val="007024E9"/>
    <w:rsid w:val="00710FBD"/>
    <w:rsid w:val="007132C4"/>
    <w:rsid w:val="00723284"/>
    <w:rsid w:val="00726D96"/>
    <w:rsid w:val="00740A2F"/>
    <w:rsid w:val="007435A7"/>
    <w:rsid w:val="00760252"/>
    <w:rsid w:val="007670F9"/>
    <w:rsid w:val="0076726C"/>
    <w:rsid w:val="00774599"/>
    <w:rsid w:val="007873CF"/>
    <w:rsid w:val="00793A70"/>
    <w:rsid w:val="007B0DAA"/>
    <w:rsid w:val="007B596F"/>
    <w:rsid w:val="007C360C"/>
    <w:rsid w:val="007D5E3C"/>
    <w:rsid w:val="007D5FB1"/>
    <w:rsid w:val="007D7FD4"/>
    <w:rsid w:val="007F35C6"/>
    <w:rsid w:val="007F3938"/>
    <w:rsid w:val="007F4B5A"/>
    <w:rsid w:val="00800986"/>
    <w:rsid w:val="008066C5"/>
    <w:rsid w:val="00810565"/>
    <w:rsid w:val="0081490E"/>
    <w:rsid w:val="00823D26"/>
    <w:rsid w:val="00835E46"/>
    <w:rsid w:val="00861132"/>
    <w:rsid w:val="00866F0B"/>
    <w:rsid w:val="00871081"/>
    <w:rsid w:val="008914AC"/>
    <w:rsid w:val="00894193"/>
    <w:rsid w:val="008947F1"/>
    <w:rsid w:val="008B2EB6"/>
    <w:rsid w:val="008C20D7"/>
    <w:rsid w:val="008D4043"/>
    <w:rsid w:val="008D4386"/>
    <w:rsid w:val="008E234E"/>
    <w:rsid w:val="008E6514"/>
    <w:rsid w:val="008F7889"/>
    <w:rsid w:val="00901D22"/>
    <w:rsid w:val="00901F42"/>
    <w:rsid w:val="00902281"/>
    <w:rsid w:val="00913055"/>
    <w:rsid w:val="009147D4"/>
    <w:rsid w:val="00914FE1"/>
    <w:rsid w:val="009409F4"/>
    <w:rsid w:val="00942D2F"/>
    <w:rsid w:val="00946ECF"/>
    <w:rsid w:val="00947DA5"/>
    <w:rsid w:val="009554DD"/>
    <w:rsid w:val="009603E2"/>
    <w:rsid w:val="009613E1"/>
    <w:rsid w:val="00963276"/>
    <w:rsid w:val="009705CA"/>
    <w:rsid w:val="00987F37"/>
    <w:rsid w:val="009B2BA0"/>
    <w:rsid w:val="009B32CF"/>
    <w:rsid w:val="009B74B5"/>
    <w:rsid w:val="009C095F"/>
    <w:rsid w:val="009C249B"/>
    <w:rsid w:val="009C47BD"/>
    <w:rsid w:val="009C56A7"/>
    <w:rsid w:val="009E53E1"/>
    <w:rsid w:val="009F54C4"/>
    <w:rsid w:val="00A110F6"/>
    <w:rsid w:val="00A11EE1"/>
    <w:rsid w:val="00A32DA1"/>
    <w:rsid w:val="00A33C5E"/>
    <w:rsid w:val="00A60ED4"/>
    <w:rsid w:val="00A70F8C"/>
    <w:rsid w:val="00A74314"/>
    <w:rsid w:val="00A91766"/>
    <w:rsid w:val="00A92400"/>
    <w:rsid w:val="00AA671E"/>
    <w:rsid w:val="00AC6916"/>
    <w:rsid w:val="00AC7075"/>
    <w:rsid w:val="00AD0BCE"/>
    <w:rsid w:val="00AD7CA3"/>
    <w:rsid w:val="00AE77E8"/>
    <w:rsid w:val="00AF1BB5"/>
    <w:rsid w:val="00AF41BE"/>
    <w:rsid w:val="00AF638A"/>
    <w:rsid w:val="00AF7C06"/>
    <w:rsid w:val="00B20B71"/>
    <w:rsid w:val="00B26227"/>
    <w:rsid w:val="00B26B32"/>
    <w:rsid w:val="00B3531E"/>
    <w:rsid w:val="00B363EF"/>
    <w:rsid w:val="00B63992"/>
    <w:rsid w:val="00B728D1"/>
    <w:rsid w:val="00B7443F"/>
    <w:rsid w:val="00B951F4"/>
    <w:rsid w:val="00B964B3"/>
    <w:rsid w:val="00B967AA"/>
    <w:rsid w:val="00B97590"/>
    <w:rsid w:val="00BA1279"/>
    <w:rsid w:val="00BB0868"/>
    <w:rsid w:val="00BB1382"/>
    <w:rsid w:val="00BB75FE"/>
    <w:rsid w:val="00BE6CA4"/>
    <w:rsid w:val="00BF37D9"/>
    <w:rsid w:val="00BF4DC4"/>
    <w:rsid w:val="00C055F2"/>
    <w:rsid w:val="00C27A1E"/>
    <w:rsid w:val="00C50375"/>
    <w:rsid w:val="00C50EDB"/>
    <w:rsid w:val="00C563F3"/>
    <w:rsid w:val="00C57839"/>
    <w:rsid w:val="00C819F2"/>
    <w:rsid w:val="00C8321F"/>
    <w:rsid w:val="00C87BA6"/>
    <w:rsid w:val="00C92D6A"/>
    <w:rsid w:val="00C93FA2"/>
    <w:rsid w:val="00CD12E4"/>
    <w:rsid w:val="00CF0DBB"/>
    <w:rsid w:val="00D03615"/>
    <w:rsid w:val="00D05297"/>
    <w:rsid w:val="00D07220"/>
    <w:rsid w:val="00D12377"/>
    <w:rsid w:val="00D32678"/>
    <w:rsid w:val="00D37B1D"/>
    <w:rsid w:val="00D534DD"/>
    <w:rsid w:val="00D7036C"/>
    <w:rsid w:val="00D85EB2"/>
    <w:rsid w:val="00D90634"/>
    <w:rsid w:val="00D92AAD"/>
    <w:rsid w:val="00DA489A"/>
    <w:rsid w:val="00DA48ED"/>
    <w:rsid w:val="00DE71A9"/>
    <w:rsid w:val="00DF5543"/>
    <w:rsid w:val="00DF5697"/>
    <w:rsid w:val="00E059D0"/>
    <w:rsid w:val="00E1077F"/>
    <w:rsid w:val="00E23A41"/>
    <w:rsid w:val="00E31187"/>
    <w:rsid w:val="00E47D5A"/>
    <w:rsid w:val="00E5239F"/>
    <w:rsid w:val="00E53F37"/>
    <w:rsid w:val="00E63A08"/>
    <w:rsid w:val="00E75F40"/>
    <w:rsid w:val="00E80E01"/>
    <w:rsid w:val="00E82E0F"/>
    <w:rsid w:val="00E8397E"/>
    <w:rsid w:val="00E903A0"/>
    <w:rsid w:val="00EA54C1"/>
    <w:rsid w:val="00EA55D0"/>
    <w:rsid w:val="00EB7416"/>
    <w:rsid w:val="00EC1277"/>
    <w:rsid w:val="00EC66D0"/>
    <w:rsid w:val="00ED09FC"/>
    <w:rsid w:val="00ED119C"/>
    <w:rsid w:val="00ED3E3C"/>
    <w:rsid w:val="00ED48B2"/>
    <w:rsid w:val="00ED5C90"/>
    <w:rsid w:val="00F24CF8"/>
    <w:rsid w:val="00F320B0"/>
    <w:rsid w:val="00F3701C"/>
    <w:rsid w:val="00F549DC"/>
    <w:rsid w:val="00F64FE2"/>
    <w:rsid w:val="00F66EAD"/>
    <w:rsid w:val="00F71B0B"/>
    <w:rsid w:val="00F821BB"/>
    <w:rsid w:val="00F8676B"/>
    <w:rsid w:val="00F96138"/>
    <w:rsid w:val="00FA54F3"/>
    <w:rsid w:val="00FB18B0"/>
    <w:rsid w:val="00FC0C22"/>
    <w:rsid w:val="00FD1BD9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A36D546-4D2C-4690-A08A-ADD422F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E8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D12377"/>
    <w:pPr>
      <w:keepNext/>
      <w:keepLines/>
      <w:spacing w:after="120"/>
      <w:outlineLvl w:val="4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2377"/>
  </w:style>
  <w:style w:type="paragraph" w:styleId="Stopka">
    <w:name w:val="footer"/>
    <w:basedOn w:val="Normalny"/>
    <w:link w:val="StopkaZnak"/>
    <w:uiPriority w:val="99"/>
    <w:unhideWhenUsed/>
    <w:rsid w:val="00D1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377"/>
  </w:style>
  <w:style w:type="paragraph" w:styleId="Tekstdymka">
    <w:name w:val="Balloon Text"/>
    <w:basedOn w:val="Normalny"/>
    <w:link w:val="TekstdymkaZnak"/>
    <w:uiPriority w:val="99"/>
    <w:semiHidden/>
    <w:unhideWhenUsed/>
    <w:rsid w:val="00D12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377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12377"/>
    <w:rPr>
      <w:rFonts w:eastAsia="Times New Roman"/>
      <w:snapToGrid w:val="0"/>
      <w:szCs w:val="20"/>
      <w:lang w:eastAsia="pl-PL"/>
    </w:rPr>
  </w:style>
  <w:style w:type="paragraph" w:customStyle="1" w:styleId="CWHead">
    <w:name w:val="CWHead"/>
    <w:basedOn w:val="Normalny"/>
    <w:rsid w:val="00D12377"/>
    <w:pPr>
      <w:pBdr>
        <w:top w:val="single" w:sz="12" w:space="1" w:color="auto"/>
        <w:bottom w:val="single" w:sz="12" w:space="1" w:color="auto"/>
      </w:pBdr>
      <w:tabs>
        <w:tab w:val="left" w:pos="2880"/>
      </w:tabs>
      <w:spacing w:before="120" w:after="160"/>
    </w:pPr>
    <w:rPr>
      <w:rFonts w:ascii="Helvetica" w:hAnsi="Helvetica"/>
      <w:sz w:val="28"/>
    </w:rPr>
  </w:style>
  <w:style w:type="paragraph" w:styleId="Zwykytekst">
    <w:name w:val="Plain Text"/>
    <w:basedOn w:val="Normalny"/>
    <w:link w:val="ZwykytekstZnak"/>
    <w:uiPriority w:val="99"/>
    <w:rsid w:val="00D12377"/>
    <w:pPr>
      <w:widowControl/>
    </w:pPr>
    <w:rPr>
      <w:rFonts w:ascii="Courier New" w:hAnsi="Courier New"/>
      <w:snapToGrid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377"/>
    <w:rPr>
      <w:rFonts w:ascii="Courier New" w:eastAsia="Times New Roman" w:hAnsi="Courier New"/>
      <w:sz w:val="20"/>
      <w:szCs w:val="20"/>
      <w:lang w:val="en-US" w:eastAsia="pl-PL"/>
    </w:rPr>
  </w:style>
  <w:style w:type="table" w:styleId="Tabela-Siatka">
    <w:name w:val="Table Grid"/>
    <w:basedOn w:val="Standardowy"/>
    <w:rsid w:val="00D12377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Domylnaczcionkaakapitu"/>
    <w:rsid w:val="00D12377"/>
  </w:style>
  <w:style w:type="paragraph" w:styleId="Akapitzlist">
    <w:name w:val="List Paragraph"/>
    <w:basedOn w:val="Normalny"/>
    <w:uiPriority w:val="34"/>
    <w:qFormat/>
    <w:rsid w:val="00B363EF"/>
    <w:pPr>
      <w:ind w:left="720"/>
      <w:contextualSpacing/>
    </w:pPr>
  </w:style>
  <w:style w:type="paragraph" w:customStyle="1" w:styleId="BodyText31">
    <w:name w:val="Body Text 31"/>
    <w:basedOn w:val="Normalny"/>
    <w:rsid w:val="00E31187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napToGrid/>
      <w:sz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1960C2"/>
    <w:rPr>
      <w:rFonts w:ascii="Arial" w:hAnsi="Arial" w:cs="Arial" w:hint="default"/>
      <w:b w:val="0"/>
      <w:bCs w:val="0"/>
      <w:color w:val="0066CC"/>
      <w:sz w:val="21"/>
      <w:szCs w:val="21"/>
      <w:u w:val="single"/>
    </w:rPr>
  </w:style>
  <w:style w:type="paragraph" w:customStyle="1" w:styleId="Default">
    <w:name w:val="Default"/>
    <w:rsid w:val="00BB086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FBD"/>
    <w:rPr>
      <w:b/>
      <w:bCs/>
    </w:rPr>
  </w:style>
  <w:style w:type="character" w:customStyle="1" w:styleId="kk1">
    <w:name w:val="kk1"/>
    <w:basedOn w:val="Domylnaczcionkaakapitu"/>
    <w:rsid w:val="00ED1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nvig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026FE8-B48C-4F4E-AB43-2AB5A853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8</Pages>
  <Words>3377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Dobrochna Panka</dc:creator>
  <cp:lastModifiedBy>Monika Kołodziej</cp:lastModifiedBy>
  <cp:revision>70</cp:revision>
  <cp:lastPrinted>2013-03-13T12:28:00Z</cp:lastPrinted>
  <dcterms:created xsi:type="dcterms:W3CDTF">2013-04-08T09:38:00Z</dcterms:created>
  <dcterms:modified xsi:type="dcterms:W3CDTF">2018-05-18T07:56:00Z</dcterms:modified>
</cp:coreProperties>
</file>